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B8461E"/>
          <w:spacing w:val="40"/>
          <w:sz w:val="16"/>
          <w:szCs w:val="16"/>
        </w:rPr>
        <w:t xml:space="preserve">MYINVEST PRO</w:t>
      </w:r>
    </w:p>
    <w:p>
      <w:pPr>
        <w:spacing w:after="80"/>
      </w:pPr>
      <w:r>
        <w:rPr>
          <w:b/>
          <w:bCs/>
          <w:color w:val="18181B"/>
          <w:sz w:val="34"/>
          <w:szCs w:val="34"/>
        </w:rPr>
        <w:t xml:space="preserve">Angebotsanfrage an CRM-Anbieter</w:t>
      </w:r>
    </w:p>
    <w:p>
      <w:pPr>
        <w:spacing w:after="160"/>
      </w:pPr>
      <w:r>
        <w:rPr>
          <w:color w:val="6B6B74"/>
          <w:sz w:val="22"/>
          <w:szCs w:val="22"/>
        </w:rPr>
        <w:t xml:space="preserve">Vergleichbare Anbieterantworten zu Preis, Einführung, Betrieb, Datenschutz und Exit</w:t>
      </w:r>
    </w:p>
    <w:p>
      <w:pPr>
        <w:pBdr>
          <w:bottom w:val="single" w:color="E4E4E8" w:sz="6" w:space="8"/>
        </w:pBdr>
        <w:spacing w:after="160"/>
      </w:pPr>
      <w:r>
        <w:rPr>
          <w:color w:val="6B6B74"/>
          <w:sz w:val="18"/>
          <w:szCs w:val="18"/>
        </w:rPr>
        <w:t xml:space="preserve">Stand: 16.08.2026 · Version 1</w:t>
      </w:r>
    </w:p>
    <w:p>
      <w:pPr>
        <w:spacing w:after="280"/>
      </w:pPr>
      <w:r>
        <w:rPr>
          <w:i/>
          <w:iCs/>
          <w:color w:val="6B6B74"/>
          <w:sz w:val="17"/>
          <w:szCs w:val="17"/>
        </w:rPr>
        <w:t xml:space="preserve">Muster zum Weiterarbeiten, nicht unterschriftsreif — die mit [ANZUPASSEN: …] markierten Stellen entscheiden Sie für Ihren Fall selbst, und auch der übrige Text passt nicht automatisch auf Ihr Vorhaben. Wir prüfen Ihren Einzelfall nicht und dürfen das auch nicht: Das ist Rechtsdienstleistung nach § 2 Abs. 1 RDG und Sache einer Rechtsanwältin oder eines Rechtsanwalts. Lassen Sie das Dokument vor der Verwendung anwaltlich prüfen. Für Inhalt, Vollständigkeit und Eignung im konkreten Fall können wir nicht einstehen. Rechtsstand: 16.08.2026 · Version 1. Recht und Rechtsprechung ändern sich — liegt dieses Datum mehr als zwölf Monate zurück, gilt: erst prüfen, dann verwenden.</w:t>
      </w:r>
    </w:p>
    <w:tbl>
      <w:tblPr>
        <w:tblW w:type="dxa" w:w="9864"/>
        <w:tblBorders>
          <w:top w:val="single" w:color="B8461E" w:sz="6"/>
          <w:left w:val="single" w:color="B8461E" w:sz="6"/>
          <w:bottom w:val="single" w:color="B8461E" w:sz="6"/>
          <w:right w:val="single" w:color="B8461E" w:sz="6"/>
          <w:insideH w:val="single" w:color="auto" w:sz="4"/>
          <w:insideV w:val="single" w:color="auto" w:sz="4"/>
        </w:tblBorders>
      </w:tblPr>
      <w:tblGrid>
        <w:gridCol w:w="9864"/>
      </w:tblGrid>
      <w:tr>
        <w:tc>
          <w:tcPr>
            <w:shd w:fill="FDF6F2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00"/>
            </w:pPr>
            <w:r>
              <w:rPr>
                <w:b/>
                <w:bCs/>
                <w:color w:val="B8461E"/>
                <w:sz w:val="20"/>
                <w:szCs w:val="20"/>
              </w:rPr>
              <w:t xml:space="preserve">So werden Angebote vergleichbar</w:t>
            </w:r>
          </w:p>
          <w:p>
            <w:pPr>
              <w:spacing w:after="90" w:line="280"/>
            </w:pPr>
            <w:r>
              <w:rPr>
                <w:color w:val="18181B"/>
                <w:sz w:val="19"/>
                <w:szCs w:val="19"/>
              </w:rPr>
              <w:t xml:space="preserve">Allen Anbietern dieselbe Fassung, dieselbe Nutzer-/Datenmenge und denselben Antworttermin senden.</w:t>
            </w:r>
          </w:p>
          <w:p>
            <w:pPr>
              <w:spacing w:after="90" w:line="280"/>
            </w:pPr>
            <w:r>
              <w:rPr>
                <w:color w:val="18181B"/>
                <w:sz w:val="19"/>
                <w:szCs w:val="19"/>
              </w:rPr>
              <w:t xml:space="preserve">Einmalige und laufende Kosten getrennt ausweisen lassen; Mindestmengen, Indexierung, Zusatzspeicher und Support nicht in einer Pauschale verstecken.</w:t>
            </w:r>
          </w:p>
          <w:p>
            <w:pPr>
              <w:spacing w:after="0" w:line="280"/>
            </w:pPr>
            <w:r>
              <w:rPr>
                <w:color w:val="18181B"/>
                <w:sz w:val="19"/>
                <w:szCs w:val="19"/>
              </w:rPr>
              <w:t xml:space="preserve">Datenexport und Vertragsende vor dem Kauf prüfen. Ein gutes CRM ohne belastbaren Exit ist ein teurer Lock-in.</w:t>
            </w:r>
          </w:p>
        </w:tc>
      </w:tr>
    </w:tbl>
    <w:p>
      <w:pPr>
        <w:pStyle w:val="Heading1"/>
        <w:keepNext/>
        <w:spacing w:after="120" w:before="320"/>
      </w:pPr>
      <w:r>
        <w:rPr>
          <w:b/>
          <w:bCs/>
          <w:color w:val="18181B"/>
          <w:sz w:val="26"/>
          <w:szCs w:val="26"/>
        </w:rPr>
        <w:t xml:space="preserve">1 · Anfrage und Zielbild</w:t>
      </w:r>
    </w:p>
    <w:p>
      <w:pPr>
        <w:spacing w:after="160" w:line="300"/>
      </w:pPr>
      <w:r>
        <w:rPr>
          <w:color w:val="18181B"/>
          <w:sz w:val="21"/>
          <w:szCs w:val="21"/>
        </w:rPr>
        <w:t xml:space="preserve">Absender / Organisation:</w:t>
      </w:r>
      <w:r>
        <w:rPr>
          <w:b/>
          <w:bCs/>
          <w:color w:val="B8461E"/>
          <w:sz w:val="19"/>
          <w:szCs w:val="19"/>
        </w:rPr>
        <w:t xml:space="preserve"> [ANZUPASSEN: Firma, Anschrift, Kontakt und Vergabeverantwortung einsetzen]</w:t>
      </w:r>
    </w:p>
    <w:p>
      <w:pPr>
        <w:spacing w:after="160" w:line="300"/>
      </w:pPr>
      <w:r>
        <w:rPr>
          <w:color w:val="18181B"/>
          <w:sz w:val="21"/>
          <w:szCs w:val="21"/>
        </w:rPr>
        <w:t xml:space="preserve">Antwortfrist und Format:</w:t>
      </w:r>
      <w:r>
        <w:rPr>
          <w:b/>
          <w:bCs/>
          <w:color w:val="B8461E"/>
          <w:sz w:val="19"/>
          <w:szCs w:val="19"/>
        </w:rPr>
        <w:t xml:space="preserve"> [ANZUPASSEN: Datum, Zeitzone, Rückfragenfrist und gewünschtes Dateiformat einsetzen]</w:t>
      </w:r>
    </w:p>
    <w:p>
      <w:pPr>
        <w:spacing w:after="160" w:line="300"/>
      </w:pPr>
      <w:r>
        <w:rPr>
          <w:color w:val="18181B"/>
          <w:sz w:val="21"/>
          <w:szCs w:val="21"/>
        </w:rPr>
        <w:t xml:space="preserve">Nutzer und Rollen:</w:t>
      </w:r>
      <w:r>
        <w:rPr>
          <w:b/>
          <w:bCs/>
          <w:color w:val="B8461E"/>
          <w:sz w:val="19"/>
          <w:szCs w:val="19"/>
        </w:rPr>
        <w:t xml:space="preserve"> [ANZUPASSEN: Anzahl intern/extern, Administratoren, Partner und erwartetes Wachstum einsetzen]</w:t>
      </w:r>
    </w:p>
    <w:p>
      <w:pPr>
        <w:spacing w:after="160" w:line="300"/>
      </w:pPr>
      <w:r>
        <w:rPr>
          <w:color w:val="18181B"/>
          <w:sz w:val="21"/>
          <w:szCs w:val="21"/>
        </w:rPr>
        <w:t xml:space="preserve">Datenvolumen:</w:t>
      </w:r>
      <w:r>
        <w:rPr>
          <w:b/>
          <w:bCs/>
          <w:color w:val="B8461E"/>
          <w:sz w:val="19"/>
          <w:szCs w:val="19"/>
        </w:rPr>
        <w:t xml:space="preserve"> [ANZUPASSEN: Kontakte, Firmen, Projekte, Einheiten, Aktivitäten, Dokumente und jährliches Wachstum einsetzen]</w:t>
      </w:r>
    </w:p>
    <w:p>
      <w:pPr>
        <w:spacing w:after="140" w:line="300"/>
      </w:pPr>
      <w:r>
        <w:rPr>
          <w:b/>
          <w:bCs/>
          <w:color w:val="18181B"/>
          <w:sz w:val="21"/>
          <w:szCs w:val="21"/>
        </w:rPr>
        <w:t xml:space="preserve">Bitte beantworten Sie jede Frage in derselben Reihenfolge. Kennzeichnen Sie „Standard“, „Konfiguration“, „Individualentwicklung“, „Roadmap“ oder „nicht verfügbar“ und nennen Sie jeweils Preis sowie Abhängigkeiten.</w:t>
      </w:r>
    </w:p>
    <w:p>
      <w:r>
        <w:br w:type="page"/>
      </w:r>
    </w:p>
    <w:p>
      <w:pPr>
        <w:pStyle w:val="Heading1"/>
        <w:keepNext/>
        <w:spacing w:after="120" w:before="320"/>
      </w:pPr>
      <w:r>
        <w:rPr>
          <w:b/>
          <w:bCs/>
          <w:color w:val="18181B"/>
          <w:sz w:val="26"/>
          <w:szCs w:val="26"/>
        </w:rPr>
        <w:t xml:space="preserve">2 · Funktion und Prozesse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Wie bilden Sie Leads, Kontakte, Interessenten, Projekte, Einheiten, Reservierungen und Vermittlungsvorgänge ab?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Welche Rollen- und Rechteebenen gibt es bis auf Feld-, Datensatz-, Projekt- und Dokumentebene?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Wie funktionieren Dublettenprüfung, Pflichtfelder, Freigaben, Historie und Audit-Protokoll?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Welche Automationen, Aufgaben, Wiedervorlagen, Vorlagen und Genehmigungen sind im Standard enthalten?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Welche Berichte und Exporte sind ohne Herstellerleistung selbst konfigurierbar?</w:t>
      </w:r>
    </w:p>
    <w:p>
      <w:pPr>
        <w:pStyle w:val="Heading1"/>
        <w:keepNext/>
        <w:spacing w:after="120" w:before="320"/>
      </w:pPr>
      <w:r>
        <w:rPr>
          <w:b/>
          <w:bCs/>
          <w:color w:val="18181B"/>
          <w:sz w:val="26"/>
          <w:szCs w:val="26"/>
        </w:rPr>
        <w:t xml:space="preserve">3 · Einführung und Migration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Welche Leistungen umfasst die Einführung; welche Mitwirkung und Datenaufbereitung erwarten Sie vom Kunden?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Beschreiben Sie Mapping, Testmigration, Validierung, Cutover, Rückfallplan und Abnahme.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Welche Importformate, APIs und Mengengrenzen gelten? Wie werden Anhänge, Historien und Beziehungen übernommen?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Nennen Sie Projektleitung, Rollen, Zeitplan, Schulungskonzept und Übergang in den Betrieb.</w:t>
      </w:r>
    </w:p>
    <w:p>
      <w:pPr>
        <w:pStyle w:val="Heading1"/>
        <w:keepNext/>
        <w:spacing w:after="120" w:before="320"/>
      </w:pPr>
      <w:r>
        <w:rPr>
          <w:b/>
          <w:bCs/>
          <w:color w:val="18181B"/>
          <w:sz w:val="26"/>
          <w:szCs w:val="26"/>
        </w:rPr>
        <w:t xml:space="preserve">4 · Datenschutz und Sicherheit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In welcher DSGVO-Rolle handeln Sie? Stellen Sie Ihren Vertrag zur Auftragsverarbeitung nach Art. 28 DSGVO bereit.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Nennen Sie Hostingstandorte, Unterauftragsverarbeiter, Drittlandtransfers und eingesetzte Transferinstrumente.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Beschreiben Sie Verschlüsselung, Mandantentrennung, MFA/SSO, Rollenmodell, Protokollierung, Backups, Wiederherstellung und Löschkonzept.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Welche Verfahren gelten für Sicherheitsvorfälle, Betroffenenrechte, Auskunft, Export, Berichtigung und Löschung?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Legen Sie aktuelle unabhängige Prüfberichte/Zertifikate sowie den Geltungsbereich vor; Marketingaussagen ohne Scope genügen nicht.</w:t>
      </w:r>
    </w:p>
    <w:p>
      <w:pPr>
        <w:pStyle w:val="Heading1"/>
        <w:keepNext/>
        <w:spacing w:after="120" w:before="320"/>
      </w:pPr>
      <w:r>
        <w:rPr>
          <w:b/>
          <w:bCs/>
          <w:color w:val="18181B"/>
          <w:sz w:val="26"/>
          <w:szCs w:val="26"/>
        </w:rPr>
        <w:t xml:space="preserve">5 · Integration und Betrieb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Dokumentieren Sie API, Webhooks, Limits, Versionierung, Sandbox, Monitoring und Fehlerwiederholung.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Welche Integrationen bestehen für E-Mail, Kalender, Telefonie, Formulare, DMS, BI, Signatur und Identitätsanbieter?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Nennen Sie Verfügbarkeit, Supportzeiten, Prioritäten, Reaktions-/Lösungszeiten, Wartungsfenster und Servicegutschriften.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Wie werden Änderungen, Releases, Abkündigungen und Breaking Changes angekündigt?</w:t>
      </w:r>
    </w:p>
    <w:p>
      <w:pPr>
        <w:pStyle w:val="Heading1"/>
        <w:keepNext/>
        <w:spacing w:after="120" w:before="320"/>
      </w:pPr>
      <w:r>
        <w:rPr>
          <w:b/>
          <w:bCs/>
          <w:color w:val="18181B"/>
          <w:sz w:val="26"/>
          <w:szCs w:val="26"/>
        </w:rPr>
        <w:t xml:space="preserve">6 · Preis und Vertrag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Weisen Sie Lizenzpreise je Rolle, Mindestmengen, Einrichtungs-, Migrations-, Schulungs-, Support- und Integrationskosten getrennt aus.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Nennen Sie Laufzeit, Verlängerung, Kündigungsfrist, Preisänderungsmechanismus und alle nutzungsabhängigen Grenzen.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Welche Leistungen sind im Angebot verbindlich enthalten, welche nur geschätzt und welche optional?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Legen Sie Vertragsbedingungen, Leistungsbeschreibung, SLA, AV-Vertrag und Unterauftragsverarbeiterliste bei.</w:t>
      </w:r>
    </w:p>
    <w:p>
      <w:pPr>
        <w:pStyle w:val="Heading1"/>
        <w:keepNext/>
        <w:spacing w:after="120" w:before="320"/>
      </w:pPr>
      <w:r>
        <w:rPr>
          <w:b/>
          <w:bCs/>
          <w:color w:val="18181B"/>
          <w:sz w:val="26"/>
          <w:szCs w:val="26"/>
        </w:rPr>
        <w:t xml:space="preserve">7 · Exit und Datenportabilität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Welche Daten, Beziehungen, Anhänge, Historien, Berechtigungen und Auditdaten können vollständig exportiert werden?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In welchen offenen Formaten, über welche Schnittstelle, innerhalb welcher Frist und zu welchen Kosten erfolgt der Export?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Wie lange bleibt ein lesender Zugriff nach Kündigung bestehen und wann werden Produktiv-, Backup- und Protokolldaten gelöscht?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Welche Unterstützung leisten Sie beim Anbieterwechsel und wie wird die Vollständigkeit des Exports nachgewiesen?</w:t>
      </w:r>
    </w:p>
    <w:p>
      <w:pPr>
        <w:pStyle w:val="Heading1"/>
        <w:keepNext/>
        <w:spacing w:after="120" w:before="320"/>
      </w:pPr>
      <w:r>
        <w:rPr>
          <w:b/>
          <w:bCs/>
          <w:color w:val="18181B"/>
          <w:sz w:val="26"/>
          <w:szCs w:val="26"/>
        </w:rPr>
        <w:t xml:space="preserve">8 · Preisblatt</w:t>
      </w:r>
    </w:p>
    <w:tbl>
      <w:tblPr>
        <w:tblW w:type="dxa" w:w="9864"/>
        <w:tblBorders>
          <w:top w:val="single" w:color="E4E4E8" w:sz="6"/>
          <w:left w:val="single" w:color="E4E4E8" w:sz="6"/>
          <w:bottom w:val="single" w:color="E4E4E8" w:sz="6"/>
          <w:right w:val="single" w:color="E4E4E8" w:sz="6"/>
          <w:insideH w:val="single" w:color="E4E4E8" w:sz="6"/>
          <w:insideV w:val="single" w:color="E4E4E8" w:sz="6"/>
        </w:tblBorders>
      </w:tblPr>
      <w:tblGrid>
        <w:gridCol w:w="3300"/>
        <w:gridCol w:w="3300"/>
        <w:gridCol w:w="3264"/>
      </w:tblGrid>
      <w:tr>
        <w:trPr>
          <w:tblHeader/>
        </w:trPr>
        <w:tc>
          <w:tcPr>
            <w:tcW w:type="dxa" w:w="3300"/>
            <w:shd w:fill="FAF7F5" w:val="clear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/>
                <w:bCs/>
                <w:color w:val="18181B"/>
                <w:sz w:val="17"/>
                <w:szCs w:val="17"/>
              </w:rPr>
              <w:t xml:space="preserve">Kostenblock</w:t>
            </w:r>
          </w:p>
        </w:tc>
        <w:tc>
          <w:tcPr>
            <w:tcW w:type="dxa" w:w="3300"/>
            <w:shd w:fill="FAF7F5" w:val="clear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/>
                <w:bCs/>
                <w:color w:val="18181B"/>
                <w:sz w:val="17"/>
                <w:szCs w:val="17"/>
              </w:rPr>
              <w:t xml:space="preserve">Menge / Annahme</w:t>
            </w:r>
          </w:p>
        </w:tc>
        <w:tc>
          <w:tcPr>
            <w:tcW w:type="dxa" w:w="3264"/>
            <w:shd w:fill="FAF7F5" w:val="clear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/>
                <w:bCs/>
                <w:color w:val="18181B"/>
                <w:sz w:val="17"/>
                <w:szCs w:val="17"/>
              </w:rPr>
              <w:t xml:space="preserve">Netto-Preis / Jahr</w:t>
            </w:r>
          </w:p>
        </w:tc>
      </w:tr>
      <w:tr>
        <w:trPr>
          <w:cantSplit/>
        </w:trPr>
        <w:tc>
          <w:tcPr>
            <w:tcW w:type="dxa" w:w="3300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Lizenzen nach Rolle</w:t>
            </w:r>
          </w:p>
        </w:tc>
        <w:tc>
          <w:tcPr>
            <w:tcW w:type="dxa" w:w="3300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[ANZUPASSEN: Mengen]</w:t>
            </w:r>
          </w:p>
        </w:tc>
        <w:tc>
          <w:tcPr>
            <w:tcW w:type="dxa" w:w="3264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[ANZUPASSEN: Betrag]</w:t>
            </w:r>
          </w:p>
        </w:tc>
      </w:tr>
      <w:tr>
        <w:trPr>
          <w:cantSplit/>
        </w:trPr>
        <w:tc>
          <w:tcPr>
            <w:tcW w:type="dxa" w:w="3300"/>
            <w:shd w:fill="FBFBFC" w:val="clear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Einführung / Migration</w:t>
            </w:r>
          </w:p>
        </w:tc>
        <w:tc>
          <w:tcPr>
            <w:tcW w:type="dxa" w:w="3300"/>
            <w:shd w:fill="FBFBFC" w:val="clear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[ANZUPASSEN: Umfang]</w:t>
            </w:r>
          </w:p>
        </w:tc>
        <w:tc>
          <w:tcPr>
            <w:tcW w:type="dxa" w:w="3264"/>
            <w:shd w:fill="FBFBFC" w:val="clear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[ANZUPASSEN: Betrag]</w:t>
            </w:r>
          </w:p>
        </w:tc>
      </w:tr>
      <w:tr>
        <w:trPr>
          <w:cantSplit/>
        </w:trPr>
        <w:tc>
          <w:tcPr>
            <w:tcW w:type="dxa" w:w="3300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Integrationen / API</w:t>
            </w:r>
          </w:p>
        </w:tc>
        <w:tc>
          <w:tcPr>
            <w:tcW w:type="dxa" w:w="3300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[ANZUPASSEN: Systeme]</w:t>
            </w:r>
          </w:p>
        </w:tc>
        <w:tc>
          <w:tcPr>
            <w:tcW w:type="dxa" w:w="3264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[ANZUPASSEN: Betrag]</w:t>
            </w:r>
          </w:p>
        </w:tc>
      </w:tr>
      <w:tr>
        <w:trPr>
          <w:cantSplit/>
        </w:trPr>
        <w:tc>
          <w:tcPr>
            <w:tcW w:type="dxa" w:w="3300"/>
            <w:shd w:fill="FBFBFC" w:val="clear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Support / SLA</w:t>
            </w:r>
          </w:p>
        </w:tc>
        <w:tc>
          <w:tcPr>
            <w:tcW w:type="dxa" w:w="3300"/>
            <w:shd w:fill="FBFBFC" w:val="clear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[ANZUPASSEN: Servicelevel]</w:t>
            </w:r>
          </w:p>
        </w:tc>
        <w:tc>
          <w:tcPr>
            <w:tcW w:type="dxa" w:w="3264"/>
            <w:shd w:fill="FBFBFC" w:val="clear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[ANZUPASSEN: Betrag]</w:t>
            </w:r>
          </w:p>
        </w:tc>
      </w:tr>
      <w:tr>
        <w:trPr>
          <w:cantSplit/>
        </w:trPr>
        <w:tc>
          <w:tcPr>
            <w:tcW w:type="dxa" w:w="3300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Speicher / Nutzung</w:t>
            </w:r>
          </w:p>
        </w:tc>
        <w:tc>
          <w:tcPr>
            <w:tcW w:type="dxa" w:w="3300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[ANZUPASSEN: Volumen]</w:t>
            </w:r>
          </w:p>
        </w:tc>
        <w:tc>
          <w:tcPr>
            <w:tcW w:type="dxa" w:w="3264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[ANZUPASSEN: Betrag]</w:t>
            </w:r>
          </w:p>
        </w:tc>
      </w:tr>
      <w:tr>
        <w:trPr>
          <w:cantSplit/>
        </w:trPr>
        <w:tc>
          <w:tcPr>
            <w:tcW w:type="dxa" w:w="3300"/>
            <w:shd w:fill="FBFBFC" w:val="clear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Optionen</w:t>
            </w:r>
          </w:p>
        </w:tc>
        <w:tc>
          <w:tcPr>
            <w:tcW w:type="dxa" w:w="3300"/>
            <w:shd w:fill="FBFBFC" w:val="clear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[ANZUPASSEN: Option]</w:t>
            </w:r>
          </w:p>
        </w:tc>
        <w:tc>
          <w:tcPr>
            <w:tcW w:type="dxa" w:w="3264"/>
            <w:shd w:fill="FBFBFC" w:val="clear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[ANZUPASSEN: Betrag]</w:t>
            </w:r>
          </w:p>
        </w:tc>
      </w:tr>
    </w:tbl>
    <w:p>
      <w:pPr>
        <w:pStyle w:val="Heading1"/>
        <w:keepNext/>
        <w:spacing w:after="120" w:before="320"/>
      </w:pPr>
      <w:r>
        <w:rPr>
          <w:b/>
          <w:bCs/>
          <w:color w:val="18181B"/>
          <w:sz w:val="26"/>
          <w:szCs w:val="26"/>
        </w:rPr>
        <w:t xml:space="preserve">9 · Anbieterbestätigung</w:t>
      </w:r>
    </w:p>
    <w:p>
      <w:pPr>
        <w:spacing w:after="160" w:line="300"/>
      </w:pPr>
      <w:r>
        <w:rPr>
          <w:color w:val="18181B"/>
          <w:sz w:val="21"/>
          <w:szCs w:val="21"/>
        </w:rPr>
        <w:t xml:space="preserve">Gültigkeit des Angebots:</w:t>
      </w:r>
      <w:r>
        <w:rPr>
          <w:b/>
          <w:bCs/>
          <w:color w:val="B8461E"/>
          <w:sz w:val="19"/>
          <w:szCs w:val="19"/>
        </w:rPr>
        <w:t xml:space="preserve"> [ANZUPASSEN: Datum und Bindungsfrist einsetzen]</w:t>
      </w:r>
    </w:p>
    <w:p>
      <w:pPr>
        <w:spacing w:after="160" w:line="300"/>
      </w:pPr>
      <w:r>
        <w:rPr>
          <w:color w:val="18181B"/>
          <w:sz w:val="21"/>
          <w:szCs w:val="21"/>
        </w:rPr>
        <w:t xml:space="preserve">Vertragsdokumente:</w:t>
      </w:r>
      <w:r>
        <w:rPr>
          <w:b/>
          <w:bCs/>
          <w:color w:val="B8461E"/>
          <w:sz w:val="19"/>
          <w:szCs w:val="19"/>
        </w:rPr>
        <w:t xml:space="preserve"> [ANZUPASSEN: Dateinamen, Versionsstände und Rangfolge vollständig aufführen]</w:t>
      </w:r>
    </w:p>
    <w:p>
      <w:pPr>
        <w:pBdr>
          <w:bottom w:val="single" w:color="B9B9C0" w:sz="6" w:space="2"/>
        </w:pBdr>
        <w:spacing w:after="0" w:before="420"/>
      </w:pPr>
      <w:r>
        <w:rPr>
          <w:sz w:val="21"/>
          <w:szCs w:val="21"/>
        </w:rPr>
        <w:t xml:space="preserve"> </w:t>
      </w:r>
    </w:p>
    <w:p>
      <w:pPr>
        <w:spacing w:after="120"/>
      </w:pPr>
      <w:r>
        <w:rPr>
          <w:color w:val="6B6B74"/>
          <w:sz w:val="17"/>
          <w:szCs w:val="17"/>
        </w:rPr>
        <w:t xml:space="preserve">Ort, Datum · Anbieter / zeichnungsberechtigte Person</w:t>
      </w:r>
    </w:p>
    <w:p>
      <w:pPr>
        <w:pStyle w:val="Heading1"/>
        <w:keepNext/>
        <w:spacing w:after="120" w:before="320"/>
      </w:pPr>
      <w:r>
        <w:rPr>
          <w:b/>
          <w:bCs/>
          <w:color w:val="18181B"/>
          <w:sz w:val="26"/>
          <w:szCs w:val="26"/>
        </w:rPr>
        <w:t xml:space="preserve">Primärquellen und Prüfstand</w:t>
      </w:r>
    </w:p>
    <w:p>
      <w:pPr>
        <w:spacing w:after="140" w:line="300"/>
      </w:pPr>
      <w:r>
        <w:rPr>
          <w:b w:val="false"/>
          <w:bCs w:val="false"/>
          <w:color w:val="6B6B74"/>
          <w:sz w:val="17"/>
          <w:szCs w:val="17"/>
        </w:rPr>
        <w:t xml:space="preserve">Die folgenden Fundstellen begründen die gesetzlichen Leitplanken dieses Musters. Die Liste ersetzt weder die Prüfung der aktuellen Fassung noch die Prüfung des Einzelfalls.</w:t>
      </w:r>
    </w:p>
    <w:p>
      <w:pPr>
        <w:spacing w:after="140" w:line="300"/>
      </w:pPr>
      <w:r>
        <w:rPr>
          <w:b w:val="false"/>
          <w:bCs w:val="false"/>
          <w:color w:val="18181B"/>
          <w:sz w:val="17"/>
          <w:szCs w:val="17"/>
        </w:rPr>
        <w:t xml:space="preserve">DSGVO, insbesondere Art. 28 und 32 — Auftragsverarbeitung und Sicherheit — https://eur-lex.europa.eu/eli/reg/2016/679/oj?locale=de</w:t>
      </w:r>
    </w:p>
    <w:sectPr>
      <w:headerReference w:type="default" r:id="rId7"/>
      <w:footerReference w:type="default" r:id="rId8"/>
      <w:pgSz w:w="11906" w:h="16838" w:orient="portrait"/>
      <w:pgMar w:top="1134" w:right="1021" w:bottom="124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color w:val="6B6B74"/>
        <w:sz w:val="15"/>
        <w:szCs w:val="15"/>
      </w:rPr>
      <w:t xml:space="preserve">Stand 16.08.2026 · myinvest-pro.de · Seite </w:t>
    </w:r>
    <w:r>
      <w:rPr>
        <w:color w:val="6B6B74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color w:val="6B6B74"/>
        <w:sz w:val="15"/>
        <w:szCs w:val="15"/>
      </w:rPr>
      <w:t xml:space="preserve"> von </w:t>
    </w:r>
    <w:r>
      <w:rPr>
        <w:color w:val="6B6B74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6B6B74"/>
        <w:sz w:val="15"/>
        <w:szCs w:val="15"/>
      </w:rPr>
      <w:t xml:space="preserve">Angebotsanfrage an CRM-Anbieter · MyInvest Pro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8181B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Angebotsanfrage an CRM-Anbieter</dc:title>
  <dc:creator>MyInvest Pro</dc:creator>
  <dc:description>Vergleichbare Anbieterantworten zu Preis, Einführung, Betrieb, Datenschutz und Exit</dc:description>
  <cp:lastModifiedBy>MyInvest Pro</cp:lastModifiedBy>
  <cp:revision>1</cp:revision>
  <dcterms:created xsi:type="dcterms:W3CDTF">2026-08-16T00:00:00Z</dcterms:created>
  <dcterms:modified xsi:type="dcterms:W3CDTF">2026-08-16T00:00:00Z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