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B8461E"/>
          <w:spacing w:val="40"/>
          <w:sz w:val="16"/>
          <w:szCs w:val="16"/>
        </w:rPr>
        <w:t xml:space="preserve">MYINVEST PRO</w:t>
      </w:r>
    </w:p>
    <w:p>
      <w:pPr>
        <w:spacing w:after="80"/>
      </w:pPr>
      <w:r>
        <w:rPr>
          <w:b/>
          <w:bCs/>
          <w:color w:val="18181B"/>
          <w:sz w:val="34"/>
          <w:szCs w:val="34"/>
        </w:rPr>
        <w:t xml:space="preserve">Vertraulichkeitsvereinbarung für Vertriebspartner</w:t>
      </w:r>
    </w:p>
    <w:p>
      <w:pPr>
        <w:spacing w:after="160"/>
      </w:pPr>
      <w:r>
        <w:rPr>
          <w:color w:val="6B6B74"/>
          <w:sz w:val="22"/>
          <w:szCs w:val="22"/>
        </w:rPr>
        <w:t xml:space="preserve">Musterrahmen für Projektunterlagen und Datenräume — mit Schutzmaßnahmen statt pauschaler Geheimhaltung</w:t>
      </w:r>
    </w:p>
    <w:p>
      <w:pPr>
        <w:pBdr>
          <w:bottom w:val="single" w:color="E4E4E8" w:sz="6" w:space="8"/>
        </w:pBdr>
        <w:spacing w:after="160"/>
      </w:pPr>
      <w:r>
        <w:rPr>
          <w:color w:val="6B6B74"/>
          <w:sz w:val="18"/>
          <w:szCs w:val="18"/>
        </w:rPr>
        <w:t xml:space="preserve">Stand: 16.08.2026 · Version 1</w:t>
      </w:r>
    </w:p>
    <w:p>
      <w:pPr>
        <w:spacing w:after="280"/>
      </w:pPr>
      <w:r>
        <w:rPr>
          <w:i/>
          <w:iCs/>
          <w:color w:val="6B6B74"/>
          <w:sz w:val="17"/>
          <w:szCs w:val="17"/>
        </w:rPr>
        <w:t xml:space="preserve">Muster zum Weiterarbeiten, nicht unterschriftsreif — die mit [ANZUPASSEN: …] markierten Stellen entscheiden Sie für Ihren Fall selbst, und auch der übrige Text passt nicht automatisch auf Ihr Vorhaben. Wir prüfen Ihren Einzelfall nicht und dürfen das auch nicht: Das ist Rechtsdienstleistung nach § 2 Abs. 1 RDG und Sache einer Rechtsanwältin oder eines Rechtsanwalts. Lassen Sie das Dokument vor der Verwendung anwaltlich prüfen. Für Inhalt, Vollständigkeit und Eignung im konkreten Fall können wir nicht einstehen. Rechtsstand: 16.08.2026 · Version 1. Recht und Rechtsprechung ändern sich — liegt dieses Datum mehr als zwölf Monate zurück, gilt: erst prüfen, dann verwenden.</w:t>
      </w:r>
    </w:p>
    <w:tbl>
      <w:tblPr>
        <w:tblW w:type="dxa" w:w="9864"/>
        <w:tblBorders>
          <w:top w:val="single" w:color="B8461E" w:sz="6"/>
          <w:left w:val="single" w:color="B8461E" w:sz="6"/>
          <w:bottom w:val="single" w:color="B8461E" w:sz="6"/>
          <w:right w:val="single" w:color="B8461E" w:sz="6"/>
          <w:insideH w:val="single" w:color="auto" w:sz="4"/>
          <w:insideV w:val="single" w:color="auto" w:sz="4"/>
        </w:tblBorders>
      </w:tblPr>
      <w:tblGrid>
        <w:gridCol w:w="9864"/>
      </w:tblGrid>
      <w:tr>
        <w:tc>
          <w:tcPr>
            <w:shd w:fill="FDF6F2" w:val="clear"/>
            <w:tcMar>
              <w:top w:type="dxa" w:w="160"/>
              <w:left w:type="dxa" w:w="200"/>
              <w:bottom w:type="dxa" w:w="160"/>
              <w:right w:type="dxa" w:w="200"/>
            </w:tcMar>
          </w:tcPr>
          <w:p>
            <w:pPr>
              <w:spacing w:after="100"/>
            </w:pPr>
            <w:r>
              <w:rPr>
                <w:b/>
                <w:bCs/>
                <w:color w:val="B8461E"/>
                <w:sz w:val="20"/>
                <w:szCs w:val="20"/>
              </w:rPr>
              <w:t xml:space="preserve">Geschäftsgeheimnisse entstehen nicht durch die Überschrift „NDA“</w:t>
            </w:r>
          </w:p>
          <w:p>
            <w:pPr>
              <w:spacing w:after="90" w:line="280"/>
            </w:pPr>
            <w:r>
              <w:rPr>
                <w:color w:val="18181B"/>
                <w:sz w:val="19"/>
                <w:szCs w:val="19"/>
              </w:rPr>
              <w:t xml:space="preserve">§ 2 Nr. 1 GeschGehG verlangt neben Geheimheit und wirtschaftlichem Wert angemessene Geheimhaltungsmaßnahmen. Informationen deshalb klassifizieren, Zugriffe begrenzen und Übergaben dokumentieren.</w:t>
            </w:r>
          </w:p>
          <w:p>
            <w:pPr>
              <w:spacing w:after="90" w:line="280"/>
            </w:pPr>
            <w:r>
              <w:rPr>
                <w:color w:val="18181B"/>
                <w:sz w:val="19"/>
                <w:szCs w:val="19"/>
              </w:rPr>
              <w:t xml:space="preserve">Öffentlich bekannte, rechtmäßig vorbekannte, selbst entwickelte oder rechtmäßig von Dritten erlangte Informationen werden nicht pauschal gesperrt.</w:t>
            </w:r>
          </w:p>
          <w:p>
            <w:pPr>
              <w:spacing w:after="0" w:line="280"/>
            </w:pPr>
            <w:r>
              <w:rPr>
                <w:color w:val="18181B"/>
                <w:sz w:val="19"/>
                <w:szCs w:val="19"/>
              </w:rPr>
              <w:t xml:space="preserve">Gesetzlich gebotene Offenlegungen und die Ausnahmen des § 5 GeschGehG dürfen nicht durch eine Vertragsklausel verdeckt werden.</w:t>
            </w:r>
          </w:p>
        </w:tc>
      </w:tr>
    </w:tbl>
    <w:p>
      <w:pPr>
        <w:pStyle w:val="Heading1"/>
        <w:keepNext/>
        <w:spacing w:after="120" w:before="320"/>
      </w:pPr>
      <w:r>
        <w:rPr>
          <w:b/>
          <w:bCs/>
          <w:color w:val="18181B"/>
          <w:sz w:val="26"/>
          <w:szCs w:val="26"/>
        </w:rPr>
        <w:t xml:space="preserve">1 · Parteien, Projekt und Zweck</w:t>
      </w:r>
    </w:p>
    <w:p>
      <w:pPr>
        <w:spacing w:after="160" w:line="300"/>
      </w:pPr>
      <w:r>
        <w:rPr>
          <w:color w:val="18181B"/>
          <w:sz w:val="21"/>
          <w:szCs w:val="21"/>
        </w:rPr>
        <w:t xml:space="preserve">Offenlegende Partei:</w:t>
      </w:r>
      <w:r>
        <w:rPr>
          <w:b/>
          <w:bCs/>
          <w:color w:val="B8461E"/>
          <w:sz w:val="19"/>
          <w:szCs w:val="19"/>
        </w:rPr>
        <w:t xml:space="preserve"> [ANZUPASSEN: Firma, Rechtsform, Anschrift und Vertretung einsetzen]</w:t>
      </w:r>
    </w:p>
    <w:p>
      <w:pPr>
        <w:spacing w:after="160" w:line="300"/>
      </w:pPr>
      <w:r>
        <w:rPr>
          <w:color w:val="18181B"/>
          <w:sz w:val="21"/>
          <w:szCs w:val="21"/>
        </w:rPr>
        <w:t xml:space="preserve">Empfangende Partei:</w:t>
      </w:r>
      <w:r>
        <w:rPr>
          <w:b/>
          <w:bCs/>
          <w:color w:val="B8461E"/>
          <w:sz w:val="19"/>
          <w:szCs w:val="19"/>
        </w:rPr>
        <w:t xml:space="preserve"> [ANZUPASSEN: Firma/Person, Anschrift und Rolle im Vertrieb einsetzen]</w:t>
      </w:r>
    </w:p>
    <w:p>
      <w:pPr>
        <w:spacing w:after="160" w:line="300"/>
      </w:pPr>
      <w:r>
        <w:rPr>
          <w:color w:val="18181B"/>
          <w:sz w:val="21"/>
          <w:szCs w:val="21"/>
        </w:rPr>
        <w:t xml:space="preserve">Projekt und erlaubter Zweck:</w:t>
      </w:r>
      <w:r>
        <w:rPr>
          <w:b/>
          <w:bCs/>
          <w:color w:val="B8461E"/>
          <w:sz w:val="19"/>
          <w:szCs w:val="19"/>
        </w:rPr>
        <w:t xml:space="preserve"> [ANZUPASSEN: Projekt sowie konkrete Prüfung, Beratung oder Vertriebshandlung einsetzen]</w:t>
      </w:r>
    </w:p>
    <w:p>
      <w:pPr>
        <w:spacing w:after="200" w:line="300"/>
      </w:pPr>
      <w:r>
        <w:rPr>
          <w:b/>
          <w:bCs/>
          <w:color w:val="18181B"/>
          <w:sz w:val="21"/>
          <w:szCs w:val="21"/>
        </w:rPr>
        <w:t xml:space="preserve">§ 1 Vertrauliche Informationen</w:t>
      </w:r>
      <w:r>
        <w:br/>
        <w:t xml:space="preserve"/>
      </w:r>
      <w:r>
        <w:rPr>
          <w:color w:val="18181B"/>
          <w:sz w:val="21"/>
          <w:szCs w:val="21"/>
        </w:rPr>
        <w:t xml:space="preserve">Vertraulich sind nur nicht offenkundige Informationen, die als vertraulich gekennzeichnet sind oder deren Vertraulichkeit sich aus den Umständen eindeutig ergibt und die für den vereinbarten Zweck überlassen werden. Geschäftsgeheimnisse im Sinne des GeschGehG bleiben nach den gesetzlichen Voraussetzungen geschützt.</w:t>
      </w:r>
      <w:r>
        <w:br/>
        <w:t xml:space="preserve"/>
      </w:r>
      <w:r>
        <w:rPr>
          <w:b/>
          <w:bCs/>
          <w:color w:val="B8461E"/>
          <w:sz w:val="20"/>
          <w:szCs w:val="20"/>
        </w:rPr>
        <w:t xml:space="preserve">[ANZUPASSEN: Informationskategorien, Kennzeichnung und Schutzklassen konkret und verhältnismäßig festlegen]</w:t>
      </w:r>
    </w:p>
    <w:p>
      <w:pPr>
        <w:spacing w:after="200" w:line="300"/>
      </w:pPr>
      <w:r>
        <w:rPr>
          <w:b/>
          <w:bCs/>
          <w:color w:val="18181B"/>
          <w:sz w:val="21"/>
          <w:szCs w:val="21"/>
        </w:rPr>
        <w:t xml:space="preserve">§ 2 Zulässige Nutzung und Empfängerkreis</w:t>
      </w:r>
      <w:r>
        <w:br/>
        <w:t xml:space="preserve"/>
      </w:r>
      <w:r>
        <w:rPr>
          <w:color w:val="18181B"/>
          <w:sz w:val="21"/>
          <w:szCs w:val="21"/>
        </w:rPr>
        <w:t xml:space="preserve">Die empfangende Partei nutzt die Informationen nur für den vereinbarten Zweck und gibt sie nur an Personen weiter, die sie hierfür benötigen und mindestens gleichwertig zur Vertraulichkeit verpflichtet sind. Gesetzliche Offenlegungspflichten bleiben unberührt; soweit zulässig, wird die offenlegende Partei vorher informiert.</w:t>
      </w:r>
      <w:r>
        <w:br/>
        <w:t xml:space="preserve"/>
      </w:r>
      <w:r>
        <w:rPr>
          <w:b/>
          <w:bCs/>
          <w:color w:val="B8461E"/>
          <w:sz w:val="20"/>
          <w:szCs w:val="20"/>
        </w:rPr>
        <w:t xml:space="preserve">[ANZUPASSEN: freigegebene Teams, Berater, Projektgesellschaften und Datenraumrollen abschließend benennen]</w:t>
      </w:r>
    </w:p>
    <w:p>
      <w:pPr>
        <w:spacing w:after="200" w:line="300"/>
      </w:pPr>
      <w:r>
        <w:rPr>
          <w:b/>
          <w:bCs/>
          <w:color w:val="18181B"/>
          <w:sz w:val="21"/>
          <w:szCs w:val="21"/>
        </w:rPr>
        <w:t xml:space="preserve">§ 3 Ausnahmen</w:t>
      </w:r>
      <w:r>
        <w:br/>
        <w:t xml:space="preserve"/>
      </w:r>
      <w:r>
        <w:rPr>
          <w:color w:val="18181B"/>
          <w:sz w:val="21"/>
          <w:szCs w:val="21"/>
        </w:rPr>
        <w:t xml:space="preserve">Nicht erfasst sind Informationen, die nachweislich öffentlich bekannt waren oder ohne Vertragsverstoß öffentlich werden, rechtmäßig vorbekannt waren, unabhängig entwickelt oder rechtmäßig von einem nicht gebundenen Dritten erlangt wurden. Gesetzlich geschützte Offenlegungen, insbesondere nach § 5 GeschGehG, werden nicht ausgeschlossen.</w:t>
      </w:r>
    </w:p>
    <w:p>
      <w:pPr>
        <w:spacing w:after="200" w:line="300"/>
      </w:pPr>
      <w:r>
        <w:rPr>
          <w:b/>
          <w:bCs/>
          <w:color w:val="18181B"/>
          <w:sz w:val="21"/>
          <w:szCs w:val="21"/>
        </w:rPr>
        <w:t xml:space="preserve">§ 4 Schutzmaßnahmen und Vorfallmeldung</w:t>
      </w:r>
      <w:r>
        <w:br/>
        <w:t xml:space="preserve"/>
      </w:r>
      <w:r>
        <w:rPr>
          <w:color w:val="18181B"/>
          <w:sz w:val="21"/>
          <w:szCs w:val="21"/>
        </w:rPr>
        <w:t xml:space="preserve">Die empfangende Partei schützt die Informationen mindestens mit den vereinbarten organisatorischen und technischen Maßnahmen, beschränkt Zugriffe auf den Need-to-know-Kreis und meldet Verlust oder unbefugten Zugriff unverzüglich über den vereinbarten Kontakt.</w:t>
      </w:r>
      <w:r>
        <w:br/>
        <w:t xml:space="preserve"/>
      </w:r>
      <w:r>
        <w:rPr>
          <w:b/>
          <w:bCs/>
          <w:color w:val="B8461E"/>
          <w:sz w:val="20"/>
          <w:szCs w:val="20"/>
        </w:rPr>
        <w:t xml:space="preserve">[ANZUPASSEN: Zugriffsschutz, Downloadregeln, Verschlüsselung, Protokollierung und Meldeweg einsetzen]</w:t>
      </w:r>
    </w:p>
    <w:p>
      <w:pPr>
        <w:spacing w:after="200" w:line="300"/>
      </w:pPr>
      <w:r>
        <w:rPr>
          <w:b/>
          <w:bCs/>
          <w:color w:val="18181B"/>
          <w:sz w:val="21"/>
          <w:szCs w:val="21"/>
        </w:rPr>
        <w:t xml:space="preserve">§ 5 Laufzeit, Rückgabe und Löschung</w:t>
      </w:r>
      <w:r>
        <w:br/>
        <w:t xml:space="preserve"/>
      </w:r>
      <w:r>
        <w:rPr>
          <w:color w:val="18181B"/>
          <w:sz w:val="21"/>
          <w:szCs w:val="21"/>
        </w:rPr>
        <w:t xml:space="preserve">Nach Ende des Zwecks werden Unterlagen nach Wahl der offenlegenden Partei zurückgegeben oder sicher gelöscht, soweit keine gesetzliche Aufbewahrungspflicht oder technisch unvermeidbare Sicherungskopie entgegensteht. Für Geschäftsgeheimnisse richtet sich die Schutzdauer nach dem Fortbestand der gesetzlichen Voraussetzungen; für sonstige Informationen gilt die vereinbarte Frist.</w:t>
      </w:r>
      <w:r>
        <w:br/>
        <w:t xml:space="preserve"/>
      </w:r>
      <w:r>
        <w:rPr>
          <w:b/>
          <w:bCs/>
          <w:color w:val="B8461E"/>
          <w:sz w:val="20"/>
          <w:szCs w:val="20"/>
        </w:rPr>
        <w:t xml:space="preserve">[ANZUPASSEN: Vertragslaufzeit, Frist für sonstige Informationen und Nachweis der Rückgabe/Löschung einsetzen]</w:t>
      </w:r>
    </w:p>
    <w:p>
      <w:pPr>
        <w:spacing w:after="200" w:line="300"/>
      </w:pPr>
      <w:r>
        <w:rPr>
          <w:b/>
          <w:bCs/>
          <w:color w:val="18181B"/>
          <w:sz w:val="21"/>
          <w:szCs w:val="21"/>
        </w:rPr>
        <w:t xml:space="preserve">§ 6 Keine Rechteübertragung</w:t>
      </w:r>
      <w:r>
        <w:br/>
        <w:t xml:space="preserve"/>
      </w:r>
      <w:r>
        <w:rPr>
          <w:color w:val="18181B"/>
          <w:sz w:val="21"/>
          <w:szCs w:val="21"/>
        </w:rPr>
        <w:t xml:space="preserve">Die Offenlegung überträgt keine Lizenz, kein Eigentum und keine Vertriebs- oder Abschlussvollmacht. Weitergehende Rechte bedürfen einer gesonderten Vereinbarung.</w:t>
      </w:r>
    </w:p>
    <w:p>
      <w:pPr>
        <w:pStyle w:val="Heading1"/>
        <w:keepNext/>
        <w:spacing w:after="120" w:before="320"/>
      </w:pPr>
      <w:r>
        <w:rPr>
          <w:b/>
          <w:bCs/>
          <w:color w:val="18181B"/>
          <w:sz w:val="26"/>
          <w:szCs w:val="26"/>
        </w:rPr>
        <w:t xml:space="preserve">2 · Freigabe</w:t>
      </w:r>
    </w:p>
    <w:p>
      <w:pPr>
        <w:spacing w:after="140" w:line="300"/>
      </w:pPr>
      <w:r>
        <w:rPr>
          <w:b w:val="false"/>
          <w:bCs w:val="false"/>
          <w:color w:val="18181B"/>
          <w:sz w:val="21"/>
          <w:szCs w:val="21"/>
        </w:rPr>
        <w:t xml:space="preserve">Vor Unterzeichnung sind die Informationskategorien und Schutzmaßnahmen tatsächlich umzusetzen; eine nur sprachlich weite Klausel ersetzt keine angemessenen Maßnahmen.</w:t>
      </w:r>
    </w:p>
    <w:p>
      <w:pPr>
        <w:pBdr>
          <w:bottom w:val="single" w:color="B9B9C0" w:sz="6" w:space="2"/>
        </w:pBdr>
        <w:spacing w:after="0" w:before="420"/>
      </w:pPr>
      <w:r>
        <w:rPr>
          <w:sz w:val="21"/>
          <w:szCs w:val="21"/>
        </w:rPr>
        <w:t xml:space="preserve"> </w:t>
      </w:r>
    </w:p>
    <w:p>
      <w:pPr>
        <w:spacing w:after="120"/>
      </w:pPr>
      <w:r>
        <w:rPr>
          <w:color w:val="6B6B74"/>
          <w:sz w:val="17"/>
          <w:szCs w:val="17"/>
        </w:rPr>
        <w:t xml:space="preserve">Ort, Datum · offenlegende Partei</w:t>
      </w:r>
    </w:p>
    <w:p>
      <w:pPr>
        <w:pBdr>
          <w:bottom w:val="single" w:color="B9B9C0" w:sz="6" w:space="2"/>
        </w:pBdr>
        <w:spacing w:after="0" w:before="420"/>
      </w:pPr>
      <w:r>
        <w:rPr>
          <w:sz w:val="21"/>
          <w:szCs w:val="21"/>
        </w:rPr>
        <w:t xml:space="preserve"> </w:t>
      </w:r>
    </w:p>
    <w:p>
      <w:pPr>
        <w:spacing w:after="120"/>
      </w:pPr>
      <w:r>
        <w:rPr>
          <w:color w:val="6B6B74"/>
          <w:sz w:val="17"/>
          <w:szCs w:val="17"/>
        </w:rPr>
        <w:t xml:space="preserve">Ort, Datum · empfangende Partei</w:t>
      </w:r>
    </w:p>
    <w:p>
      <w:pPr>
        <w:pStyle w:val="Heading1"/>
        <w:keepNext/>
        <w:spacing w:after="120" w:before="320"/>
      </w:pPr>
      <w:r>
        <w:rPr>
          <w:b/>
          <w:bCs/>
          <w:color w:val="18181B"/>
          <w:sz w:val="26"/>
          <w:szCs w:val="26"/>
        </w:rPr>
        <w:t xml:space="preserve">Primärquellen und Prüfstand</w:t>
      </w:r>
    </w:p>
    <w:p>
      <w:pPr>
        <w:spacing w:after="140" w:line="300"/>
      </w:pPr>
      <w:r>
        <w:rPr>
          <w:b w:val="false"/>
          <w:bCs w:val="false"/>
          <w:color w:val="6B6B74"/>
          <w:sz w:val="17"/>
          <w:szCs w:val="17"/>
        </w:rPr>
        <w:t xml:space="preserve">Die folgenden Fundstellen begründen die gesetzlichen Leitplanken dieses Musters. Die Liste ersetzt weder die Prüfung der aktuellen Fassung noch die Prüfung des Einzelfalls.</w:t>
      </w:r>
    </w:p>
    <w:p>
      <w:pPr>
        <w:spacing w:after="140" w:line="300"/>
      </w:pPr>
      <w:r>
        <w:rPr>
          <w:b w:val="false"/>
          <w:bCs w:val="false"/>
          <w:color w:val="18181B"/>
          <w:sz w:val="17"/>
          <w:szCs w:val="17"/>
        </w:rPr>
        <w:t xml:space="preserve">GeschGehG, insbesondere §§ 2 bis 5 — Begriff, erlaubte Handlungen, Verbote und Ausnahmen — https://www.gesetze-im-internet.de/geschgehg/</w:t>
      </w:r>
    </w:p>
    <w:p>
      <w:pPr>
        <w:spacing w:after="140" w:line="300"/>
      </w:pPr>
      <w:r>
        <w:rPr>
          <w:b w:val="false"/>
          <w:bCs w:val="false"/>
          <w:color w:val="18181B"/>
          <w:sz w:val="17"/>
          <w:szCs w:val="17"/>
        </w:rPr>
        <w:t xml:space="preserve">Art. 28 und 32 DSGVO — falls personenbezogene Daten als Auftragsverarbeitung betroffen sind — https://eur-lex.europa.eu/eli/reg/2016/679/oj?locale=de</w:t>
      </w:r>
    </w:p>
    <w:sectPr>
      <w:headerReference w:type="default" r:id="rId7"/>
      <w:footerReference w:type="default" r:id="rId8"/>
      <w:pgSz w:w="11906" w:h="16838" w:orient="portrait"/>
      <w:pgMar w:top="1134" w:right="1021" w:bottom="1247" w:left="102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6B74"/>
        <w:sz w:val="15"/>
        <w:szCs w:val="15"/>
      </w:rPr>
      <w:t xml:space="preserve">Stand 16.08.2026 · myinvest-pro.de · Seite </w:t>
    </w:r>
    <w:r>
      <w:rPr>
        <w:color w:val="6B6B74"/>
        <w:sz w:val="15"/>
        <w:szCs w:val="15"/>
      </w:rPr>
      <w:fldChar w:fldCharType="begin"/>
      <w:instrText xml:space="preserve">PAGE</w:instrText>
      <w:fldChar w:fldCharType="separate"/>
      <w:fldChar w:fldCharType="end"/>
    </w:r>
    <w:r>
      <w:rPr>
        <w:color w:val="6B6B74"/>
        <w:sz w:val="15"/>
        <w:szCs w:val="15"/>
      </w:rPr>
      <w:t xml:space="preserve"> von </w:t>
    </w:r>
    <w:r>
      <w:rPr>
        <w:color w:val="6B6B74"/>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74"/>
        <w:sz w:val="15"/>
        <w:szCs w:val="15"/>
      </w:rPr>
      <w:t xml:space="preserve">Vertraulichkeitsvereinbarung für Vertriebspartner · MyInvest Pro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8181B"/>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Vertraulichkeitsvereinbarung für Vertriebspartner</dc:title>
  <dc:creator>MyInvest Pro</dc:creator>
  <dc:description>Musterrahmen für Projektunterlagen und Datenräume — mit Schutzmaßnahmen statt pauschaler Geheimhaltung</dc:description>
  <cp:lastModifiedBy>MyInvest Pro</cp:lastModifiedBy>
  <cp:revision>1</cp:revision>
  <dcterms:created xsi:type="dcterms:W3CDTF">2026-08-16T00:00:00Z</dcterms:created>
  <dcterms:modified xsi:type="dcterms:W3CDTF">2026-08-16T00:00:00Z</dcterms:modified>
</cp:coreProperties>
</file>

<file path=docProps/custom.xml><?xml version="1.0" encoding="utf-8"?>
<Properties xmlns="http://schemas.openxmlformats.org/officeDocument/2006/custom-properties" xmlns:vt="http://schemas.openxmlformats.org/officeDocument/2006/docPropsVTypes"/>
</file>