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B8461E"/>
          <w:spacing w:val="40"/>
          <w:sz w:val="16"/>
          <w:szCs w:val="16"/>
        </w:rPr>
        <w:t xml:space="preserve">MYINVEST PRO</w:t>
      </w:r>
    </w:p>
    <w:p>
      <w:pPr>
        <w:spacing w:after="80"/>
      </w:pPr>
      <w:r>
        <w:rPr>
          <w:b/>
          <w:bCs/>
          <w:color w:val="18181B"/>
          <w:sz w:val="34"/>
          <w:szCs w:val="34"/>
        </w:rPr>
        <w:t xml:space="preserve">Reservierungsvereinbarung: Prüfschema und Klauselrisiko-Katalog</w:t>
      </w:r>
    </w:p>
    <w:p>
      <w:pPr>
        <w:spacing w:after="160"/>
      </w:pPr>
      <w:r>
        <w:rPr>
          <w:color w:val="6B6B74"/>
          <w:sz w:val="22"/>
          <w:szCs w:val="22"/>
        </w:rPr>
        <w:t xml:space="preserve">Bewusst kein Vertragstext — getrennte Prüfung von Form, AGB-Kontrolle, Leistung und Rückzahlung</w:t>
      </w:r>
    </w:p>
    <w:p>
      <w:pPr>
        <w:pBdr>
          <w:bottom w:val="single" w:color="E4E4E8" w:sz="6" w:space="8"/>
        </w:pBdr>
        <w:spacing w:after="160"/>
      </w:pPr>
      <w:r>
        <w:rPr>
          <w:color w:val="6B6B74"/>
          <w:sz w:val="18"/>
          <w:szCs w:val="18"/>
        </w:rPr>
        <w:t xml:space="preserve">Stand: 16.08.2026 · Version 1</w:t>
      </w:r>
    </w:p>
    <w:p>
      <w:pPr>
        <w:spacing w:after="280"/>
      </w:pPr>
      <w:r>
        <w:rPr>
          <w:i/>
          <w:iCs/>
          <w:color w:val="6B6B74"/>
          <w:sz w:val="17"/>
          <w:szCs w:val="17"/>
        </w:rPr>
        <w:t xml:space="preserve">Muster zum Weiterarbeiten, nicht unterschriftsreif — die mit [ANZUPASSEN: …] markierten Stellen entscheiden Sie für Ihren Fall selbst, und auch der übrige Text passt nicht automatisch auf Ihr Vorhaben. Wir prüfen Ihren Einzelfall nicht und dürfen das auch nicht: Das ist Rechtsdienstleistung nach § 2 Abs. 1 RDG und Sache einer Rechtsanwältin oder eines Rechtsanwalts. Lassen Sie das Dokument vor der Verwendung anwaltlich prüfen. Für Inhalt, Vollständigkeit und Eignung im konkreten Fall können wir nicht einstehen. Rechtsstand: 16.08.2026 · Version 1. Recht und Rechtsprechung ändern sich — liegt dieses Datum mehr als zwölf Monate zurück, gilt: erst prüfen, dann verwenden.</w:t>
      </w:r>
    </w:p>
    <w:tbl>
      <w:tblPr>
        <w:tblW w:type="dxa" w:w="9864"/>
        <w:tblBorders>
          <w:top w:val="single" w:color="B8461E" w:sz="6"/>
          <w:left w:val="single" w:color="B8461E" w:sz="6"/>
          <w:bottom w:val="single" w:color="B8461E" w:sz="6"/>
          <w:right w:val="single" w:color="B8461E" w:sz="6"/>
          <w:insideH w:val="single" w:color="auto" w:sz="4"/>
          <w:insideV w:val="single" w:color="auto" w:sz="4"/>
        </w:tblBorders>
      </w:tblPr>
      <w:tblGrid>
        <w:gridCol w:w="9864"/>
      </w:tblGrid>
      <w:tr>
        <w:tc>
          <w:tcPr>
            <w:shd w:fill="FDF6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B8461E"/>
                <w:sz w:val="20"/>
                <w:szCs w:val="20"/>
              </w:rPr>
              <w:t xml:space="preserve">Kein sicherer Formulierungsbaustein und keine BGH-Prozentgrenze</w:t>
            </w:r>
          </w:p>
          <w:p>
            <w:pPr>
              <w:spacing w:after="90" w:line="280"/>
            </w:pPr>
            <w:r>
              <w:rPr>
                <w:color w:val="18181B"/>
                <w:sz w:val="19"/>
                <w:szCs w:val="19"/>
              </w:rPr>
              <w:t xml:space="preserve">Dieses Dokument liefert keine unterschriftsreife Reservierungsvereinbarung. Es sammelt Prüfentscheidungen, die anhand des konkreten Objekts, der Parteien, der Bindungswirkung und des Zahlungsmodells anwaltlich beantwortet werden müssen.</w:t>
            </w:r>
          </w:p>
          <w:p>
            <w:pPr>
              <w:spacing w:after="90" w:line="280"/>
            </w:pPr>
            <w:r>
              <w:rPr>
                <w:color w:val="18181B"/>
                <w:sz w:val="19"/>
                <w:szCs w:val="19"/>
              </w:rPr>
              <w:t xml:space="preserve">Der BGH hat in I ZR 113/22 keine „10- oder 15-%-Grenze“ aufgestellt. Er hat eine formularmäßige, ausnahmslos nicht rückzahlbare Reservierungsgebühr als unangemessene Benachteiligung beurteilt; die AGB-Kontrolle griff auch bei einer separaten Urkunde mit unmittelbarer Verbindung zum Maklervertrag.</w:t>
            </w:r>
          </w:p>
          <w:p>
            <w:pPr>
              <w:spacing w:after="0" w:line="280"/>
            </w:pPr>
            <w:r>
              <w:rPr>
                <w:color w:val="18181B"/>
                <w:sz w:val="19"/>
                <w:szCs w:val="19"/>
              </w:rPr>
              <w:t xml:space="preserve">Die notarielle Form nach § 311b Abs. 1 BGB und die AGB-Kontrolle nach §§ 305 ff. BGB sind zwei getrennte Prüflinien. Eine bestandene Linie macht die andere nicht entbehrlich.</w:t>
            </w:r>
          </w:p>
        </w:tc>
      </w:tr>
    </w:tbl>
    <w:p>
      <w:pPr>
        <w:pStyle w:val="Heading1"/>
        <w:keepNext/>
        <w:spacing w:after="120" w:before="320"/>
      </w:pPr>
      <w:r>
        <w:rPr>
          <w:b/>
          <w:bCs/>
          <w:color w:val="18181B"/>
          <w:sz w:val="26"/>
          <w:szCs w:val="26"/>
        </w:rPr>
        <w:t xml:space="preserve">1 · Sachverhalt erfassen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Objekt und Kaufpreis:</w:t>
      </w:r>
      <w:r>
        <w:rPr>
          <w:b/>
          <w:bCs/>
          <w:color w:val="B8461E"/>
          <w:sz w:val="19"/>
          <w:szCs w:val="19"/>
        </w:rPr>
        <w:t xml:space="preserve"> [ANZUPASSEN: Objekt eindeutig bezeichnen und vorgesehenen Kaufpreis einsetzen]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Parteien und Rollen:</w:t>
      </w:r>
      <w:r>
        <w:rPr>
          <w:b/>
          <w:bCs/>
          <w:color w:val="B8461E"/>
          <w:sz w:val="19"/>
          <w:szCs w:val="19"/>
        </w:rPr>
        <w:t xml:space="preserve"> [ANZUPASSEN: Eigentümer/Verkäufer, Makler, Kaufinteressent und Zahlungsempfänger einsetzen]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Dauer und Exklusivität:</w:t>
      </w:r>
      <w:r>
        <w:rPr>
          <w:b/>
          <w:bCs/>
          <w:color w:val="B8461E"/>
          <w:sz w:val="19"/>
          <w:szCs w:val="19"/>
        </w:rPr>
        <w:t xml:space="preserve"> [ANZUPASSEN: Beginn, Ende, Verlängerung und konkrete Vorhaltepflichten einsetzen]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Zahlung:</w:t>
      </w:r>
      <w:r>
        <w:rPr>
          <w:b/>
          <w:bCs/>
          <w:color w:val="B8461E"/>
          <w:sz w:val="19"/>
          <w:szCs w:val="19"/>
        </w:rPr>
        <w:t xml:space="preserve"> [ANZUPASSEN: Betrag, Fälligkeit, Empfänger, Verrechnung und Rückzahlungsszenarien einsetzen]</w:t>
      </w:r>
    </w:p>
    <w:p>
      <w:pPr>
        <w:pStyle w:val="Heading1"/>
        <w:keepNext/>
        <w:spacing w:after="120" w:before="320"/>
      </w:pPr>
      <w:r>
        <w:rPr>
          <w:b/>
          <w:bCs/>
          <w:color w:val="18181B"/>
          <w:sz w:val="26"/>
          <w:szCs w:val="26"/>
        </w:rPr>
        <w:t xml:space="preserve">2 · Prüflinie A — Form nach § 311b BGB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Begründet die Vereinbarung unmittelbar eine Pflicht zum Erwerb oder zur Veräußerung eines Grundstücks?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Erzeugt die Gebührenhöhe oder ein anderer Nachteil faktischen Druck, den Grundstückskauf abzuschließen?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Sind Reservierung und Kaufvertrag rechtlich oder wirtschaftlich so verknüpft, dass die Formbedürftigkeit den gesamten Regelungskomplex erfassen kann?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Ist die Vereinbarung bereits notariell beurkundet oder muss sie vor Unterschrift notariell geprüft werden?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Anwaltliche/notarielle Bewertung der Formfrage:</w:t>
      </w:r>
      <w:r>
        <w:rPr>
          <w:b/>
          <w:bCs/>
          <w:color w:val="B8461E"/>
          <w:sz w:val="19"/>
          <w:szCs w:val="19"/>
        </w:rPr>
        <w:t xml:space="preserve"> [ANZUPASSEN: Ergebnis, tragende Tatsachen, prüfende Person und Datum dokumentieren]</w:t>
      </w:r>
    </w:p>
    <w:p>
      <w:pPr>
        <w:pStyle w:val="Heading1"/>
        <w:keepNext/>
        <w:spacing w:after="120" w:before="320"/>
      </w:pPr>
      <w:r>
        <w:rPr>
          <w:b/>
          <w:bCs/>
          <w:color w:val="18181B"/>
          <w:sz w:val="26"/>
          <w:szCs w:val="26"/>
        </w:rPr>
        <w:t xml:space="preserve">3 · Prüflinie B — AGB und Hauptleistung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Wird der Text für mehrere Fälle vorformuliert oder vom Verwender gestellt (§ 305 BGB)?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Besteht eine unmittelbare Verbindung zum Maklervertrag, sodass die Reservierung eine kontrollfähige Nebenabrede ist?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Erhält der Kunde einen nennenswerten, durchsetzbaren Vorteil und erbringt der Makler eine geldwerte Gegenleistung?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Ist die Rückzahlung ausnahmslos ausgeschlossen, obwohl der Kauf ohne zurechenbaren Vorteil des Kunden scheitert?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☐ Sind Laufzeit, Leistung, Fälligkeit und Rückzahlungsfälle klar, transparent und ausgewogen?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AGB-Prüfung:</w:t>
      </w:r>
      <w:r>
        <w:rPr>
          <w:b/>
          <w:bCs/>
          <w:color w:val="B8461E"/>
          <w:sz w:val="19"/>
          <w:szCs w:val="19"/>
        </w:rPr>
        <w:t xml:space="preserve"> [ANZUPASSEN: Einordnung, verwendete Vertragsfassung und anwaltliches Ergebnis dokumentieren]</w:t>
      </w:r>
    </w:p>
    <w:p>
      <w:pPr>
        <w:pStyle w:val="Heading1"/>
        <w:keepNext/>
        <w:spacing w:after="120" w:before="320"/>
      </w:pPr>
      <w:r>
        <w:rPr>
          <w:b/>
          <w:bCs/>
          <w:color w:val="18181B"/>
          <w:sz w:val="26"/>
          <w:szCs w:val="26"/>
        </w:rPr>
        <w:t xml:space="preserve">4 · Klauselrisiko-Katalog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Pauschaler Ausschluss jeder Rückzahlung — hohes Risiko nach BGH I ZR 113/22.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Gebühr ohne nennenswerten Kundenvorteil oder geldwerte Gegenleistung — Risiko unangemessener Benachteiligung.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Separate Urkunde als vermeintliche Umgehung der AGB-Kontrolle — nach I ZR 113/22 keine tragfähige Abgrenzung bei unmittelbarer Verbindung.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Unklare Exklusivität oder bloße Tätigkeit, die der Makler bereits aus dem Maklervertrag schuldet — Leistungs- und Transparenzrisiko.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Hoher wirtschaftlicher Druck zum Grundstückskauf — gesondertes Formrisiko nach § 311b BGB; keine pauschale Prozentzahl ersetzt die Einzelfallprüfung.</w:t>
      </w:r>
    </w:p>
    <w:p>
      <w:pPr>
        <w:pStyle w:val="ListParagraph"/>
        <w:numPr>
          <w:ilvl w:val="0"/>
          <w:numId w:val="1"/>
        </w:numPr>
        <w:spacing w:after="80" w:line="280"/>
      </w:pPr>
      <w:r>
        <w:rPr>
          <w:color w:val="18181B"/>
          <w:sz w:val="21"/>
          <w:szCs w:val="21"/>
        </w:rPr>
        <w:t xml:space="preserve">Verfall bei Umständen aus der Sphäre von Verkäufer oder Makler — besonderes Rückzahlungs- und AGB-Risiko.</w:t>
      </w:r>
    </w:p>
    <w:p>
      <w:r>
        <w:br w:type="page"/>
      </w:r>
    </w:p>
    <w:p>
      <w:pPr>
        <w:pStyle w:val="Heading1"/>
        <w:keepNext/>
        <w:spacing w:after="120" w:before="320"/>
      </w:pPr>
      <w:r>
        <w:rPr>
          <w:b/>
          <w:bCs/>
          <w:color w:val="18181B"/>
          <w:sz w:val="26"/>
          <w:szCs w:val="26"/>
        </w:rPr>
        <w:t xml:space="preserve">5 · Freigabe-Gate</w:t>
      </w:r>
    </w:p>
    <w:p>
      <w:pPr>
        <w:spacing w:after="160" w:line="300"/>
      </w:pPr>
      <w:r>
        <w:rPr>
          <w:color w:val="18181B"/>
          <w:sz w:val="21"/>
          <w:szCs w:val="21"/>
        </w:rPr>
        <w:t xml:space="preserve">Freigabe nur nach Prüfung:</w:t>
      </w:r>
      <w:r>
        <w:rPr>
          <w:b/>
          <w:bCs/>
          <w:color w:val="B8461E"/>
          <w:sz w:val="19"/>
          <w:szCs w:val="19"/>
        </w:rPr>
        <w:t xml:space="preserve"> [ANZUPASSEN: zuständige Rechtsanwältin/Rechtsanwalt oder Notariat, Datum und freigegebene Versionsnummer einsetzen]</w:t>
      </w:r>
    </w:p>
    <w:p>
      <w:pPr>
        <w:spacing w:after="140" w:line="300"/>
      </w:pPr>
      <w:r>
        <w:rPr>
          <w:b/>
          <w:bCs/>
          <w:color w:val="18181B"/>
          <w:sz w:val="21"/>
          <w:szCs w:val="21"/>
        </w:rPr>
        <w:t xml:space="preserve">Ohne dokumentierte Freigabe wird kein Vertragstext aus diesem Prüfschema abgeleitet oder verwendet.</w:t>
      </w:r>
    </w:p>
    <w:p>
      <w:pPr>
        <w:pStyle w:val="Heading1"/>
        <w:keepNext/>
        <w:spacing w:after="120" w:before="320"/>
      </w:pPr>
      <w:r>
        <w:rPr>
          <w:b/>
          <w:bCs/>
          <w:color w:val="18181B"/>
          <w:sz w:val="26"/>
          <w:szCs w:val="26"/>
        </w:rPr>
        <w:t xml:space="preserve">Primärquellen und Prüfstand</w:t>
      </w:r>
    </w:p>
    <w:p>
      <w:pPr>
        <w:spacing w:after="140" w:line="300"/>
      </w:pPr>
      <w:r>
        <w:rPr>
          <w:b w:val="false"/>
          <w:bCs w:val="false"/>
          <w:color w:val="6B6B74"/>
          <w:sz w:val="17"/>
          <w:szCs w:val="17"/>
        </w:rPr>
        <w:t xml:space="preserve">Die folgenden Fundstellen begründen die gesetzlichen Leitplanken dieses Musters. Die Liste ersetzt weder die Prüfung der aktuellen Fassung noch die Prüfung des Einzelfalls.</w:t>
      </w:r>
    </w:p>
    <w:p>
      <w:pPr>
        <w:spacing w:after="140" w:line="300"/>
      </w:pPr>
      <w:r>
        <w:rPr>
          <w:b w:val="false"/>
          <w:bCs w:val="false"/>
          <w:color w:val="18181B"/>
          <w:sz w:val="17"/>
          <w:szCs w:val="17"/>
        </w:rPr>
        <w:t xml:space="preserve">§ 311b BGB — notarielle Form bei Grundstücksverpflichtungen — https://www.gesetze-im-internet.de/bgb/__311b.html</w:t>
      </w:r>
    </w:p>
    <w:p>
      <w:pPr>
        <w:spacing w:after="140" w:line="300"/>
      </w:pPr>
      <w:r>
        <w:rPr>
          <w:b w:val="false"/>
          <w:bCs w:val="false"/>
          <w:color w:val="18181B"/>
          <w:sz w:val="17"/>
          <w:szCs w:val="17"/>
        </w:rPr>
        <w:t xml:space="preserve">§§ 305 bis 310 BGB — Einbeziehung und Inhaltskontrolle Allgemeiner Geschäftsbedingungen — https://www.gesetze-im-internet.de/bgb/BJNR001950896.html#BJNR001950896BJNG031902377</w:t>
      </w:r>
    </w:p>
    <w:p>
      <w:pPr>
        <w:spacing w:after="140" w:line="300"/>
      </w:pPr>
      <w:r>
        <w:rPr>
          <w:b w:val="false"/>
          <w:bCs w:val="false"/>
          <w:color w:val="18181B"/>
          <w:sz w:val="17"/>
          <w:szCs w:val="17"/>
        </w:rPr>
        <w:t xml:space="preserve">BGH, Urteil vom 20.04.2023 — I ZR 113/22 — https://juris.bundesgerichtshof.de/cgi-bin/rechtsprechung/document.py?Gericht=bgh&amp;Art=en&amp;nr=133492 — AGB-Kontrolle auch bei separater Urkunde; nicht rückzahlbare Gebühr ohne nennenswerten Vorteil/Gegenleistung</w:t>
      </w:r>
    </w:p>
    <w:sectPr>
      <w:headerReference w:type="default" r:id="rId7"/>
      <w:footerReference w:type="default" r:id="rId8"/>
      <w:pgSz w:w="11906" w:h="16838" w:orient="portrait"/>
      <w:pgMar w:top="1134" w:right="1021" w:bottom="1247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6B74"/>
        <w:sz w:val="15"/>
        <w:szCs w:val="15"/>
      </w:rPr>
      <w:t xml:space="preserve">Stand 16.08.2026 · myinvest-pro.de · Seite </w:t>
    </w:r>
    <w:r>
      <w:rPr>
        <w:color w:val="6B6B74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B6B74"/>
        <w:sz w:val="15"/>
        <w:szCs w:val="15"/>
      </w:rPr>
      <w:t xml:space="preserve"> von </w:t>
    </w:r>
    <w:r>
      <w:rPr>
        <w:color w:val="6B6B74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6B74"/>
        <w:sz w:val="15"/>
        <w:szCs w:val="15"/>
      </w:rPr>
      <w:t xml:space="preserve">Reservierungsvereinbarung: Prüfschema und Klauselrisiko-Katalog · MyInvest Pro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81B"/>
        <w:sz w:val="21"/>
        <w:szCs w:val="21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Reservierungsvereinbarung: Prüfschema und Klauselrisiko-Katalog</dc:title>
  <dc:creator>MyInvest Pro</dc:creator>
  <dc:description>Bewusst kein Vertragstext — getrennte Prüfung von Form, AGB-Kontrolle, Leistung und Rückzahlung</dc:description>
  <cp:lastModifiedBy>MyInvest Pro</cp:lastModifiedBy>
  <cp:revision>1</cp:revision>
  <dcterms:created xsi:type="dcterms:W3CDTF">2026-08-16T00:00:00Z</dcterms:created>
  <dcterms:modified xsi:type="dcterms:W3CDTF">2026-08-16T00:00:00Z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