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B8461E"/>
          <w:spacing w:val="40"/>
          <w:sz w:val="16"/>
          <w:szCs w:val="16"/>
        </w:rPr>
        <w:t xml:space="preserve">MYINVEST PRO</w:t>
      </w:r>
    </w:p>
    <w:p>
      <w:pPr>
        <w:spacing w:after="80"/>
      </w:pPr>
      <w:r>
        <w:rPr>
          <w:b/>
          <w:bCs/>
          <w:color w:val="18181B"/>
          <w:sz w:val="34"/>
          <w:szCs w:val="34"/>
        </w:rPr>
        <w:t xml:space="preserve">Teilungsvereinbarung Provision</w:t>
      </w:r>
    </w:p>
    <w:p>
      <w:pPr>
        <w:spacing w:after="160"/>
      </w:pPr>
      <w:r>
        <w:rPr>
          <w:color w:val="6B6B74"/>
          <w:sz w:val="22"/>
          <w:szCs w:val="22"/>
        </w:rPr>
        <w:t xml:space="preserve">Bearbeitbarer Rahmen für die interne Aufteilung eines konkreten Provisionsfalls</w:t>
      </w:r>
    </w:p>
    <w:p>
      <w:pPr>
        <w:pBdr>
          <w:bottom w:val="single" w:color="E4E4E8" w:sz="6" w:space="8"/>
        </w:pBdr>
        <w:spacing w:after="160"/>
      </w:pPr>
      <w:r>
        <w:rPr>
          <w:color w:val="6B6B74"/>
          <w:sz w:val="18"/>
          <w:szCs w:val="18"/>
        </w:rPr>
        <w:t xml:space="preserve">Stand: 16.08.2026 · Version 1</w:t>
      </w:r>
    </w:p>
    <w:p>
      <w:pPr>
        <w:spacing w:after="280"/>
      </w:pPr>
      <w:r>
        <w:rPr>
          <w:i/>
          <w:iCs/>
          <w:color w:val="6B6B74"/>
          <w:sz w:val="17"/>
          <w:szCs w:val="17"/>
        </w:rPr>
        <w:t xml:space="preserve">Muster zum Weiterarbeiten, nicht unterschriftsreif — die mit [ANZUPASSEN: …] markierten Stellen entscheiden Sie für Ihren Fall selbst, und auch der übrige Text passt nicht automatisch auf Ihr Vorhaben. Wir prüfen Ihren Einzelfall nicht und dürfen das auch nicht: Das ist Rechtsdienstleistung nach § 2 Abs. 1 RDG und Sache einer Rechtsanwältin oder eines Rechtsanwalts. Lassen Sie das Dokument vor der Verwendung anwaltlich prüfen. Für Inhalt, Vollständigkeit und Eignung im konkreten Fall können wir nicht einstehen. Rechtsstand: 16.08.2026 · Version 1. Recht und Rechtsprechung ändern sich — liegt dieses Datum mehr als zwölf Monate zurück, gilt: erst prüfen, dann verwenden.</w:t>
      </w:r>
    </w:p>
    <w:tbl>
      <w:tblPr>
        <w:tblW w:type="dxa" w:w="9864"/>
        <w:tblBorders>
          <w:top w:val="single" w:color="B8461E" w:sz="6"/>
          <w:left w:val="single" w:color="B8461E" w:sz="6"/>
          <w:bottom w:val="single" w:color="B8461E" w:sz="6"/>
          <w:right w:val="single" w:color="B8461E" w:sz="6"/>
          <w:insideH w:val="single" w:color="auto" w:sz="4"/>
          <w:insideV w:val="single" w:color="auto" w:sz="4"/>
        </w:tblBorders>
      </w:tblPr>
      <w:tblGrid>
        <w:gridCol w:w="9864"/>
      </w:tblGrid>
      <w:tr>
        <w:tc>
          <w:tcPr>
            <w:shd w:fill="FDF6F2" w:val="clear"/>
            <w:tcMar>
              <w:top w:type="dxa" w:w="160"/>
              <w:left w:type="dxa" w:w="200"/>
              <w:bottom w:type="dxa" w:w="160"/>
              <w:right w:type="dxa" w:w="200"/>
            </w:tcMar>
          </w:tcPr>
          <w:p>
            <w:pPr>
              <w:spacing w:after="100"/>
            </w:pPr>
            <w:r>
              <w:rPr>
                <w:b/>
                <w:bCs/>
                <w:color w:val="B8461E"/>
                <w:sz w:val="20"/>
                <w:szCs w:val="20"/>
              </w:rPr>
              <w:t xml:space="preserve">Vor dem Ausfüllen klären</w:t>
            </w:r>
          </w:p>
          <w:p>
            <w:pPr>
              <w:spacing w:after="90" w:line="280"/>
            </w:pPr>
            <w:r>
              <w:rPr>
                <w:color w:val="18181B"/>
                <w:sz w:val="19"/>
                <w:szCs w:val="19"/>
              </w:rPr>
              <w:t xml:space="preserve">Diese Vereinbarung verteilt nur im Innenverhältnis. Sie ersetzt weder den Makler- oder Vertriebspartnervertrag noch eine Abtretung gegenüber dem provisionspflichtigen Unternehmen.</w:t>
            </w:r>
          </w:p>
          <w:p>
            <w:pPr>
              <w:spacing w:after="90" w:line="280"/>
            </w:pPr>
            <w:r>
              <w:rPr>
                <w:color w:val="18181B"/>
                <w:sz w:val="19"/>
                <w:szCs w:val="19"/>
              </w:rPr>
              <w:t xml:space="preserve">Provisionsentstehung, Fälligkeit, Storno und Rückforderung müssen mit dem Grundvertrag und zwingendem Recht übereinstimmen. Bei Handelsvertretern darf § 87a Abs. 1 bis 4 HGB nicht zu deren Nachteil abbedungen werden (§ 87a Abs. 5 HGB).</w:t>
            </w:r>
          </w:p>
          <w:p>
            <w:pPr>
              <w:spacing w:after="0" w:line="280"/>
            </w:pPr>
            <w:r>
              <w:rPr>
                <w:color w:val="18181B"/>
                <w:sz w:val="19"/>
                <w:szCs w:val="19"/>
              </w:rPr>
              <w:t xml:space="preserve">Steuerliche Behandlung, Umsatzsteuer und Rechnungsstellung sind gesondert zu prüfen.</w:t>
            </w:r>
          </w:p>
        </w:tc>
      </w:tr>
    </w:tbl>
    <w:p>
      <w:pPr>
        <w:pStyle w:val="Heading1"/>
        <w:keepNext/>
        <w:spacing w:after="120" w:before="320"/>
      </w:pPr>
      <w:r>
        <w:rPr>
          <w:b/>
          <w:bCs/>
          <w:color w:val="18181B"/>
          <w:sz w:val="26"/>
          <w:szCs w:val="26"/>
        </w:rPr>
        <w:t xml:space="preserve">1 · Beteiligte und Ausgangsgeschäft</w:t>
      </w:r>
    </w:p>
    <w:p>
      <w:pPr>
        <w:spacing w:after="160" w:line="300"/>
      </w:pPr>
      <w:r>
        <w:rPr>
          <w:color w:val="18181B"/>
          <w:sz w:val="21"/>
          <w:szCs w:val="21"/>
        </w:rPr>
        <w:t xml:space="preserve">Unternehmen / Auftraggeber:</w:t>
      </w:r>
      <w:r>
        <w:rPr>
          <w:b/>
          <w:bCs/>
          <w:color w:val="B8461E"/>
          <w:sz w:val="19"/>
          <w:szCs w:val="19"/>
        </w:rPr>
        <w:t xml:space="preserve"> [ANZUPASSEN: Firma, Rechtsform, Anschrift, Vertretung einsetzen]</w:t>
      </w:r>
    </w:p>
    <w:p>
      <w:pPr>
        <w:spacing w:after="160" w:line="300"/>
      </w:pPr>
      <w:r>
        <w:rPr>
          <w:color w:val="18181B"/>
          <w:sz w:val="21"/>
          <w:szCs w:val="21"/>
        </w:rPr>
        <w:t xml:space="preserve">Beteiligte Vertriebspartner:</w:t>
      </w:r>
      <w:r>
        <w:rPr>
          <w:b/>
          <w:bCs/>
          <w:color w:val="B8461E"/>
          <w:sz w:val="19"/>
          <w:szCs w:val="19"/>
        </w:rPr>
        <w:t xml:space="preserve"> [ANZUPASSEN: vollständige Namen/Firmen, Anschriften und Rollen einsetzen]</w:t>
      </w:r>
    </w:p>
    <w:p>
      <w:pPr>
        <w:spacing w:after="160" w:line="300"/>
      </w:pPr>
      <w:r>
        <w:rPr>
          <w:color w:val="18181B"/>
          <w:sz w:val="21"/>
          <w:szCs w:val="21"/>
        </w:rPr>
        <w:t xml:space="preserve">Projekt, Einheit und Kunde:</w:t>
      </w:r>
      <w:r>
        <w:rPr>
          <w:b/>
          <w:bCs/>
          <w:color w:val="B8461E"/>
          <w:sz w:val="19"/>
          <w:szCs w:val="19"/>
        </w:rPr>
        <w:t xml:space="preserve"> [ANZUPASSEN: eindeutige Bezeichnung ohne unnötige Kundendaten einsetzen]</w:t>
      </w:r>
    </w:p>
    <w:p>
      <w:pPr>
        <w:spacing w:after="160" w:line="300"/>
      </w:pPr>
      <w:r>
        <w:rPr>
          <w:color w:val="18181B"/>
          <w:sz w:val="21"/>
          <w:szCs w:val="21"/>
        </w:rPr>
        <w:t xml:space="preserve">Grundvertrag / Provisionszusage:</w:t>
      </w:r>
      <w:r>
        <w:rPr>
          <w:b/>
          <w:bCs/>
          <w:color w:val="B8461E"/>
          <w:sz w:val="19"/>
          <w:szCs w:val="19"/>
        </w:rPr>
        <w:t xml:space="preserve"> [ANZUPASSEN: Datum, Parteien und maßgebliche Regelung einsetzen]</w:t>
      </w:r>
    </w:p>
    <w:p>
      <w:pPr>
        <w:spacing w:after="200" w:line="300"/>
      </w:pPr>
      <w:r>
        <w:rPr>
          <w:b/>
          <w:bCs/>
          <w:color w:val="18181B"/>
          <w:sz w:val="21"/>
          <w:szCs w:val="21"/>
        </w:rPr>
        <w:t xml:space="preserve">§ 1 Gegenstand und Rangfolge</w:t>
      </w:r>
      <w:r>
        <w:br/>
        <w:t xml:space="preserve"/>
      </w:r>
      <w:r>
        <w:rPr>
          <w:color w:val="18181B"/>
          <w:sz w:val="21"/>
          <w:szCs w:val="21"/>
        </w:rPr>
        <w:t xml:space="preserve">Die Beteiligten dokumentieren ausschließlich ihren internen Verteilungsschlüssel für das bezeichnete Ausgangsgeschäft. Entstehung und Fälligkeit der Gesamtprovision richten sich nach dem Grundvertrag und dem anwendbaren Gesetz. Bei Widersprüchen gehen zwingendes Recht und der Grundvertrag vor.</w:t>
      </w:r>
      <w:r>
        <w:br/>
        <w:t xml:space="preserve"/>
      </w:r>
      <w:r>
        <w:rPr>
          <w:b/>
          <w:bCs/>
          <w:color w:val="B8461E"/>
          <w:sz w:val="20"/>
          <w:szCs w:val="20"/>
        </w:rPr>
        <w:t xml:space="preserve">[ANZUPASSEN: festlegen, ob und welche Regelung im Grundvertrag ergänzt werden darf]</w:t>
      </w:r>
    </w:p>
    <w:p>
      <w:pPr>
        <w:spacing w:after="200" w:line="300"/>
      </w:pPr>
      <w:r>
        <w:rPr>
          <w:b/>
          <w:bCs/>
          <w:color w:val="18181B"/>
          <w:sz w:val="21"/>
          <w:szCs w:val="21"/>
        </w:rPr>
        <w:t xml:space="preserve">§ 2 Verteilungsschlüssel</w:t>
      </w:r>
      <w:r>
        <w:br/>
        <w:t xml:space="preserve"/>
      </w:r>
      <w:r>
        <w:rPr>
          <w:color w:val="18181B"/>
          <w:sz w:val="21"/>
          <w:szCs w:val="21"/>
        </w:rPr>
        <w:t xml:space="preserve">Die tatsächlich eingegangene Netto-Provision wird nach Abzug nur der ausdrücklich vereinbarten, belegten Fremdkosten verteilt. Umsatzsteuer wird je Beteiligtem nach dessen Rechnung und steuerlichem Status behandelt.</w:t>
      </w:r>
      <w:r>
        <w:br/>
        <w:t xml:space="preserve"/>
      </w:r>
      <w:r>
        <w:rPr>
          <w:b/>
          <w:bCs/>
          <w:color w:val="B8461E"/>
          <w:sz w:val="20"/>
          <w:szCs w:val="20"/>
        </w:rPr>
        <w:t xml:space="preserve">[ANZUPASSEN: Prozentsatz oder Festbetrag je Beteiligtem; Summe auf 100 % prüfen; zulässige Abzüge abschließend benennen]</w:t>
      </w:r>
    </w:p>
    <w:p>
      <w:pPr>
        <w:spacing w:after="200" w:line="300"/>
      </w:pPr>
      <w:r>
        <w:rPr>
          <w:b/>
          <w:bCs/>
          <w:color w:val="18181B"/>
          <w:sz w:val="21"/>
          <w:szCs w:val="21"/>
        </w:rPr>
        <w:t xml:space="preserve">§ 3 Abrechnung und Auszahlung</w:t>
      </w:r>
      <w:r>
        <w:br/>
        <w:t xml:space="preserve"/>
      </w:r>
      <w:r>
        <w:rPr>
          <w:color w:val="18181B"/>
          <w:sz w:val="21"/>
          <w:szCs w:val="21"/>
        </w:rPr>
        <w:t xml:space="preserve">Die abrechnende Stelle stellt den Beteiligten die Berechnungsgrundlage und den Zahlungseingang nachvollziehbar dar. Auszahlungen erfolgen nach prüffähiger Abrechnung und Zugang der jeweils erforderlichen Rechnung.</w:t>
      </w:r>
      <w:r>
        <w:br/>
        <w:t xml:space="preserve"/>
      </w:r>
      <w:r>
        <w:rPr>
          <w:b/>
          <w:bCs/>
          <w:color w:val="B8461E"/>
          <w:sz w:val="20"/>
          <w:szCs w:val="20"/>
        </w:rPr>
        <w:t xml:space="preserve">[ANZUPASSEN: abrechnende Stelle, Nachweise, Rechnungsweg und Auszahlungsfrist einsetzen]</w:t>
      </w:r>
    </w:p>
    <w:p>
      <w:pPr>
        <w:spacing w:after="200" w:line="300"/>
      </w:pPr>
      <w:r>
        <w:rPr>
          <w:b/>
          <w:bCs/>
          <w:color w:val="18181B"/>
          <w:sz w:val="21"/>
          <w:szCs w:val="21"/>
        </w:rPr>
        <w:t xml:space="preserve">§ 4 Storno, Teilzahlung und Rückbelastung</w:t>
      </w:r>
      <w:r>
        <w:br/>
        <w:t xml:space="preserve"/>
      </w:r>
      <w:r>
        <w:rPr>
          <w:color w:val="18181B"/>
          <w:sz w:val="21"/>
          <w:szCs w:val="21"/>
        </w:rPr>
        <w:t xml:space="preserve">Teilzahlungen und wirksame Minderungen werden im selben Verhältnis verteilt. Eine Rückbelastung erfolgt nur, soweit die zugrunde liegende Provision nach Grundvertrag und Gesetz tatsächlich entfallen und der entsprechende Betrag zurückgezahlt worden ist; Verantwortungsbeiträge und zwingende Schutzvorschriften bleiben unberührt.</w:t>
      </w:r>
      <w:r>
        <w:br/>
        <w:t xml:space="preserve"/>
      </w:r>
      <w:r>
        <w:rPr>
          <w:b/>
          <w:bCs/>
          <w:color w:val="B8461E"/>
          <w:sz w:val="20"/>
          <w:szCs w:val="20"/>
        </w:rPr>
        <w:t xml:space="preserve">[ANZUPASSEN: Nachweis, Abrechnungsweg und sachgerechte Verteilung bei unterschiedlich verursachten Stornos festlegen]</w:t>
      </w:r>
    </w:p>
    <w:p>
      <w:pPr>
        <w:spacing w:after="200" w:line="300"/>
      </w:pPr>
      <w:r>
        <w:rPr>
          <w:b/>
          <w:bCs/>
          <w:color w:val="18181B"/>
          <w:sz w:val="21"/>
          <w:szCs w:val="21"/>
        </w:rPr>
        <w:t xml:space="preserve">§ 5 Dokumentation und Streitklärung</w:t>
      </w:r>
      <w:r>
        <w:br/>
        <w:t xml:space="preserve"/>
      </w:r>
      <w:r>
        <w:rPr>
          <w:color w:val="18181B"/>
          <w:sz w:val="21"/>
          <w:szCs w:val="21"/>
        </w:rPr>
        <w:t xml:space="preserve">Abrechnung, Zahlungseingänge und Korrekturen werden fallbezogen dokumentiert. Vor einer gerichtlichen Auseinandersetzung benennen die Beteiligten eine kurze interne Klärungsfrist; Rechte auf gerichtlichen Rechtsschutz werden nicht ausgeschlossen.</w:t>
      </w:r>
      <w:r>
        <w:br/>
        <w:t xml:space="preserve"/>
      </w:r>
      <w:r>
        <w:rPr>
          <w:b/>
          <w:bCs/>
          <w:color w:val="B8461E"/>
          <w:sz w:val="20"/>
          <w:szCs w:val="20"/>
        </w:rPr>
        <w:t xml:space="preserve">[ANZUPASSEN: Ansprechperson, Dokumentationsort und Klärungsfrist einsetzen]</w:t>
      </w:r>
    </w:p>
    <w:p>
      <w:pPr>
        <w:pStyle w:val="Heading1"/>
        <w:keepNext/>
        <w:spacing w:after="120" w:before="320"/>
      </w:pPr>
      <w:r>
        <w:rPr>
          <w:b/>
          <w:bCs/>
          <w:color w:val="18181B"/>
          <w:sz w:val="26"/>
          <w:szCs w:val="26"/>
        </w:rPr>
        <w:t xml:space="preserve">2 · Freigabe</w:t>
      </w:r>
    </w:p>
    <w:p>
      <w:pPr>
        <w:spacing w:after="140" w:line="300"/>
      </w:pPr>
      <w:r>
        <w:rPr>
          <w:b w:val="false"/>
          <w:bCs w:val="false"/>
          <w:color w:val="18181B"/>
          <w:sz w:val="21"/>
          <w:szCs w:val="21"/>
        </w:rPr>
        <w:t xml:space="preserve">Mit der Unterzeichnung bestätigen die Beteiligten nur die nach anwaltlicher Prüfung verbleibende Fassung.</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Unternehmen / Auftraggeber</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Beteiligter 1</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Beteiligter 2 / weitere Beteiligte</w:t>
      </w:r>
    </w:p>
    <w:p>
      <w:pPr>
        <w:pStyle w:val="Heading1"/>
        <w:keepNext/>
        <w:spacing w:after="120" w:before="320"/>
      </w:pPr>
      <w:r>
        <w:rPr>
          <w:b/>
          <w:bCs/>
          <w:color w:val="18181B"/>
          <w:sz w:val="26"/>
          <w:szCs w:val="26"/>
        </w:rPr>
        <w:t xml:space="preserve">Primärquellen und Prüfstand</w:t>
      </w:r>
    </w:p>
    <w:p>
      <w:pPr>
        <w:spacing w:after="140" w:line="300"/>
      </w:pPr>
      <w:r>
        <w:rPr>
          <w:b w:val="false"/>
          <w:bCs w:val="false"/>
          <w:color w:val="6B6B74"/>
          <w:sz w:val="17"/>
          <w:szCs w:val="17"/>
        </w:rPr>
        <w:t xml:space="preserve">Die folgenden Fundstellen begründen die gesetzlichen Leitplanken dieses Musters. Die Liste ersetzt weder die Prüfung der aktuellen Fassung noch die Prüfung des Einzelfalls.</w:t>
      </w:r>
    </w:p>
    <w:p>
      <w:pPr>
        <w:spacing w:after="140" w:line="300"/>
      </w:pPr>
      <w:r>
        <w:rPr>
          <w:b w:val="false"/>
          <w:bCs w:val="false"/>
          <w:color w:val="18181B"/>
          <w:sz w:val="17"/>
          <w:szCs w:val="17"/>
        </w:rPr>
        <w:t xml:space="preserve">§ 87a HGB — Entstehung und Wegfall des Provisionsanspruchs; Abweichungsverbot in Absatz 5 — https://www.gesetze-im-internet.de/hgb/__87a.html</w:t>
      </w:r>
    </w:p>
    <w:p>
      <w:pPr>
        <w:spacing w:after="140" w:line="300"/>
      </w:pPr>
      <w:r>
        <w:rPr>
          <w:b w:val="false"/>
          <w:bCs w:val="false"/>
          <w:color w:val="18181B"/>
          <w:sz w:val="17"/>
          <w:szCs w:val="17"/>
        </w:rPr>
        <w:t xml:space="preserve">§ 87c HGB — Abrechnung, Buchauszug und unabdingbare Informationsrechte — https://www.gesetze-im-internet.de/hgb/__87c.html</w:t>
      </w:r>
    </w:p>
    <w:sectPr>
      <w:headerReference w:type="default" r:id="rId7"/>
      <w:footerReference w:type="default" r:id="rId8"/>
      <w:pgSz w:w="11906" w:h="16838" w:orient="portrait"/>
      <w:pgMar w:top="1134" w:right="1021" w:bottom="1247" w:left="102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B6B74"/>
        <w:sz w:val="15"/>
        <w:szCs w:val="15"/>
      </w:rPr>
      <w:t xml:space="preserve">Stand 16.08.2026 · myinvest-pro.de · Seite </w:t>
    </w:r>
    <w:r>
      <w:rPr>
        <w:color w:val="6B6B74"/>
        <w:sz w:val="15"/>
        <w:szCs w:val="15"/>
      </w:rPr>
      <w:fldChar w:fldCharType="begin"/>
      <w:instrText xml:space="preserve">PAGE</w:instrText>
      <w:fldChar w:fldCharType="separate"/>
      <w:fldChar w:fldCharType="end"/>
    </w:r>
    <w:r>
      <w:rPr>
        <w:color w:val="6B6B74"/>
        <w:sz w:val="15"/>
        <w:szCs w:val="15"/>
      </w:rPr>
      <w:t xml:space="preserve"> von </w:t>
    </w:r>
    <w:r>
      <w:rPr>
        <w:color w:val="6B6B7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6B74"/>
        <w:sz w:val="15"/>
        <w:szCs w:val="15"/>
      </w:rPr>
      <w:t xml:space="preserve">Teilungsvereinbarung Provision · MyInvest Pro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8181B"/>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Teilungsvereinbarung Provision</dc:title>
  <dc:creator>MyInvest Pro</dc:creator>
  <dc:description>Bearbeitbarer Rahmen für die interne Aufteilung eines konkreten Provisionsfalls</dc:description>
  <cp:lastModifiedBy>MyInvest Pro</cp:lastModifiedBy>
  <cp:revision>1</cp:revision>
  <dcterms:created xsi:type="dcterms:W3CDTF">2026-08-16T00:00:00Z</dcterms:created>
  <dcterms:modified xsi:type="dcterms:W3CDTF">2026-08-16T00:00:00Z</dcterms:modified>
</cp:coreProperties>
</file>

<file path=docProps/custom.xml><?xml version="1.0" encoding="utf-8"?>
<Properties xmlns="http://schemas.openxmlformats.org/officeDocument/2006/custom-properties" xmlns:vt="http://schemas.openxmlformats.org/officeDocument/2006/docPropsVTypes"/>
</file>