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B8461E"/>
          <w:spacing w:val="40"/>
          <w:sz w:val="16"/>
          <w:szCs w:val="16"/>
        </w:rPr>
        <w:t xml:space="preserve">MYINVEST PRO</w:t>
      </w:r>
    </w:p>
    <w:p>
      <w:pPr>
        <w:spacing w:after="80"/>
      </w:pPr>
      <w:r>
        <w:rPr>
          <w:b/>
          <w:bCs/>
          <w:color w:val="18181B"/>
          <w:sz w:val="34"/>
          <w:szCs w:val="34"/>
        </w:rPr>
        <w:t xml:space="preserve">Vorschussvereinbarung Provision</w:t>
      </w:r>
    </w:p>
    <w:p>
      <w:pPr>
        <w:spacing w:after="160"/>
      </w:pPr>
      <w:r>
        <w:rPr>
          <w:color w:val="6B6B74"/>
          <w:sz w:val="22"/>
          <w:szCs w:val="22"/>
        </w:rPr>
        <w:t xml:space="preserve">Herabgestufter Musterrahmen — Provisionsvorschuss ohne pauschale Verlagerung des Unternehmerrisikos</w:t>
      </w:r>
    </w:p>
    <w:p>
      <w:pPr>
        <w:pBdr>
          <w:bottom w:val="single" w:color="E4E4E8" w:sz="6" w:space="8"/>
        </w:pBdr>
        <w:spacing w:after="160"/>
      </w:pPr>
      <w:r>
        <w:rPr>
          <w:color w:val="6B6B74"/>
          <w:sz w:val="18"/>
          <w:szCs w:val="18"/>
        </w:rPr>
        <w:t xml:space="preserve">Stand: 16.08.2026 · Version 1</w:t>
      </w:r>
    </w:p>
    <w:p>
      <w:pPr>
        <w:spacing w:after="280"/>
      </w:pPr>
      <w:r>
        <w:rPr>
          <w:i/>
          <w:iCs/>
          <w:color w:val="6B6B74"/>
          <w:sz w:val="17"/>
          <w:szCs w:val="17"/>
        </w:rPr>
        <w:t xml:space="preserve">Muster zum Weiterarbeiten, nicht unterschriftsreif — die mit [ANZUPASSEN: …] markierten Stellen entscheiden Sie für Ihren Fall selbst, und auch der übrige Text passt nicht automatisch auf Ihr Vorhaben. Wir prüfen Ihren Einzelfall nicht und dürfen das auch nicht: Das ist Rechtsdienstleistung nach § 2 Abs. 1 RDG und Sache einer Rechtsanwältin oder eines Rechtsanwalts. Lassen Sie das Dokument vor der Verwendung anwaltlich prüfen. Für Inhalt, Vollständigkeit und Eignung im konkreten Fall können wir nicht einstehen. Rechtsstand: 16.08.2026 · Version 1. Recht und Rechtsprechung ändern sich — liegt dieses Datum mehr als zwölf Monate zurück, gilt: erst prüfen, dann verwenden.</w:t>
      </w:r>
    </w:p>
    <w:tbl>
      <w:tblPr>
        <w:tblW w:type="dxa" w:w="9864"/>
        <w:tblBorders>
          <w:top w:val="single" w:color="B8461E" w:sz="6"/>
          <w:left w:val="single" w:color="B8461E" w:sz="6"/>
          <w:bottom w:val="single" w:color="B8461E" w:sz="6"/>
          <w:right w:val="single" w:color="B8461E" w:sz="6"/>
          <w:insideH w:val="single" w:color="auto" w:sz="4"/>
          <w:insideV w:val="single" w:color="auto" w:sz="4"/>
        </w:tblBorders>
      </w:tblPr>
      <w:tblGrid>
        <w:gridCol w:w="9864"/>
      </w:tblGrid>
      <w:tr>
        <w:tc>
          <w:tcPr>
            <w:shd w:fill="FDF6F2" w:val="clear"/>
            <w:tcMar>
              <w:top w:type="dxa" w:w="160"/>
              <w:left w:type="dxa" w:w="200"/>
              <w:bottom w:type="dxa" w:w="160"/>
              <w:right w:type="dxa" w:w="200"/>
            </w:tcMar>
          </w:tcPr>
          <w:p>
            <w:pPr>
              <w:spacing w:after="100"/>
            </w:pPr>
            <w:r>
              <w:rPr>
                <w:b/>
                <w:bCs/>
                <w:color w:val="B8461E"/>
                <w:sz w:val="20"/>
                <w:szCs w:val="20"/>
              </w:rPr>
              <w:t xml:space="preserve">Diese vier Klauseln sind bei Handelsvertretern unwirksam</w:t>
            </w:r>
          </w:p>
          <w:p>
            <w:pPr>
              <w:spacing w:after="90" w:line="280"/>
            </w:pPr>
            <w:r>
              <w:rPr>
                <w:color w:val="18181B"/>
                <w:sz w:val="19"/>
                <w:szCs w:val="19"/>
              </w:rPr>
              <w:t xml:space="preserve">Kein angemessener Vorschuss, obwohl der Unternehmer das Geschäft bereits ausgeführt hat: § 87a Abs. 1 HGB gewährt ihn; § 87a Abs. 5 verbietet eine Abweichung zum Nachteil des Handelsvertreters.</w:t>
            </w:r>
          </w:p>
          <w:p>
            <w:pPr>
              <w:spacing w:after="90" w:line="280"/>
            </w:pPr>
            <w:r>
              <w:rPr>
                <w:color w:val="18181B"/>
                <w:sz w:val="19"/>
                <w:szCs w:val="19"/>
              </w:rPr>
              <w:t xml:space="preserve">Rückzahlung schon vor der Feststellung, dass der Dritte nicht leistet: § 87a Abs. 2 HGB knüpft den Wegfall an diese Feststellung.</w:t>
            </w:r>
          </w:p>
          <w:p>
            <w:pPr>
              <w:spacing w:after="90" w:line="280"/>
            </w:pPr>
            <w:r>
              <w:rPr>
                <w:color w:val="18181B"/>
                <w:sz w:val="19"/>
                <w:szCs w:val="19"/>
              </w:rPr>
              <w:t xml:space="preserve">Rückbelastung, obwohl die Nichtausführung auf vom Unternehmer zu vertretenden Umständen beruht: Das widerspricht § 87a Abs. 3 HGB.</w:t>
            </w:r>
          </w:p>
          <w:p>
            <w:pPr>
              <w:spacing w:after="0" w:line="280"/>
            </w:pPr>
            <w:r>
              <w:rPr>
                <w:color w:val="18181B"/>
                <w:sz w:val="19"/>
                <w:szCs w:val="19"/>
              </w:rPr>
              <w:t xml:space="preserve">Spätere Fälligkeit oder pauschale Stornohaftung entgegen § 87a Abs. 4 HGB: Auch davon darf nach § 87a Abs. 5 nicht zum Nachteil des Handelsvertreters abgewichen werden.</w:t>
            </w:r>
          </w:p>
        </w:tc>
      </w:tr>
    </w:tbl>
    <w:p>
      <w:pPr>
        <w:spacing w:after="140" w:line="300"/>
      </w:pPr>
      <w:r>
        <w:rPr>
          <w:b/>
          <w:bCs/>
          <w:color w:val="18181B"/>
          <w:sz w:val="21"/>
          <w:szCs w:val="21"/>
        </w:rPr>
        <w:t xml:space="preserve">Zuerst einordnen: Ob die Person Handelsvertreter im Sinne des § 84 HGB ist, hängt von ihrer tatsächlichen selbstständigen Tätigkeit und dauerhaften Vermittlungs- oder Abschlusstätigkeit ab — nicht von der Überschrift des Vertrags.</w:t>
      </w:r>
    </w:p>
    <w:p>
      <w:pPr>
        <w:pStyle w:val="Heading1"/>
        <w:keepNext/>
        <w:spacing w:after="120" w:before="320"/>
      </w:pPr>
      <w:r>
        <w:rPr>
          <w:b/>
          <w:bCs/>
          <w:color w:val="18181B"/>
          <w:sz w:val="26"/>
          <w:szCs w:val="26"/>
        </w:rPr>
        <w:t xml:space="preserve">1 · Bezug und Vorschuss</w:t>
      </w:r>
    </w:p>
    <w:p>
      <w:pPr>
        <w:spacing w:after="160" w:line="300"/>
      </w:pPr>
      <w:r>
        <w:rPr>
          <w:color w:val="18181B"/>
          <w:sz w:val="21"/>
          <w:szCs w:val="21"/>
        </w:rPr>
        <w:t xml:space="preserve">Unternehmer / abrechnende Stelle:</w:t>
      </w:r>
      <w:r>
        <w:rPr>
          <w:b/>
          <w:bCs/>
          <w:color w:val="B8461E"/>
          <w:sz w:val="19"/>
          <w:szCs w:val="19"/>
        </w:rPr>
        <w:t xml:space="preserve"> [ANZUPASSEN: Firma, Anschrift und Vertretung einsetzen]</w:t>
      </w:r>
    </w:p>
    <w:p>
      <w:pPr>
        <w:spacing w:after="160" w:line="300"/>
      </w:pPr>
      <w:r>
        <w:rPr>
          <w:color w:val="18181B"/>
          <w:sz w:val="21"/>
          <w:szCs w:val="21"/>
        </w:rPr>
        <w:t xml:space="preserve">Vertriebspartner:</w:t>
      </w:r>
      <w:r>
        <w:rPr>
          <w:b/>
          <w:bCs/>
          <w:color w:val="B8461E"/>
          <w:sz w:val="19"/>
          <w:szCs w:val="19"/>
        </w:rPr>
        <w:t xml:space="preserve"> [ANZUPASSEN: Firma/Person, Anschrift und Vertragsstatus einsetzen]</w:t>
      </w:r>
    </w:p>
    <w:p>
      <w:pPr>
        <w:spacing w:after="160" w:line="300"/>
      </w:pPr>
      <w:r>
        <w:rPr>
          <w:color w:val="18181B"/>
          <w:sz w:val="21"/>
          <w:szCs w:val="21"/>
        </w:rPr>
        <w:t xml:space="preserve">Grundvertrag und Ausgangsgeschäft:</w:t>
      </w:r>
      <w:r>
        <w:rPr>
          <w:b/>
          <w:bCs/>
          <w:color w:val="B8461E"/>
          <w:sz w:val="19"/>
          <w:szCs w:val="19"/>
        </w:rPr>
        <w:t xml:space="preserve"> [ANZUPASSEN: Vertragsdatum, Projekt, Einheit und provisionsauslösendes Geschäft einsetzen]</w:t>
      </w:r>
    </w:p>
    <w:p>
      <w:pPr>
        <w:spacing w:after="200" w:line="300"/>
      </w:pPr>
      <w:r>
        <w:rPr>
          <w:b/>
          <w:bCs/>
          <w:color w:val="18181B"/>
          <w:sz w:val="21"/>
          <w:szCs w:val="21"/>
        </w:rPr>
        <w:t xml:space="preserve">§ 1 Charakter der Zahlung</w:t>
      </w:r>
      <w:r>
        <w:br/>
        <w:t xml:space="preserve"/>
      </w:r>
      <w:r>
        <w:rPr>
          <w:color w:val="18181B"/>
          <w:sz w:val="21"/>
          <w:szCs w:val="21"/>
        </w:rPr>
        <w:t xml:space="preserve">Die Zahlung ist ein Vorschuss auf den Provisionsanspruch aus dem bezeichneten Ausgangsgeschäft. Sie begründet keinen eigenständigen Provisionsanspruch und ändert weder dessen gesetzliche Entstehung noch die gesetzlichen Grenzen seines Wegfalls.</w:t>
      </w:r>
      <w:r>
        <w:br/>
        <w:t xml:space="preserve"/>
      </w:r>
      <w:r>
        <w:rPr>
          <w:b/>
          <w:bCs/>
          <w:color w:val="B8461E"/>
          <w:sz w:val="20"/>
          <w:szCs w:val="20"/>
        </w:rPr>
        <w:t xml:space="preserve">[ANZUPASSEN: Vorschussbetrag, Umsatzsteuerbehandlung und Auszahlungstag einsetzen]</w:t>
      </w:r>
    </w:p>
    <w:p>
      <w:pPr>
        <w:spacing w:after="200" w:line="300"/>
      </w:pPr>
      <w:r>
        <w:rPr>
          <w:b/>
          <w:bCs/>
          <w:color w:val="18181B"/>
          <w:sz w:val="21"/>
          <w:szCs w:val="21"/>
        </w:rPr>
        <w:t xml:space="preserve">§ 2 Abrechnung und Verrechnung</w:t>
      </w:r>
      <w:r>
        <w:br/>
        <w:t xml:space="preserve"/>
      </w:r>
      <w:r>
        <w:rPr>
          <w:color w:val="18181B"/>
          <w:sz w:val="21"/>
          <w:szCs w:val="21"/>
        </w:rPr>
        <w:t xml:space="preserve">Der Vorschuss wird in der nächsten prüffähigen Provisionsabrechnung offen ausgewiesen und nur mit fälligen Ansprüchen aus dem bezeichneten Vertragsverhältnis verrechnet. Gesetzliche Abrechnungs-, Buchauszugs- und Informationsrechte bleiben unberührt.</w:t>
      </w:r>
      <w:r>
        <w:br/>
        <w:t xml:space="preserve"/>
      </w:r>
      <w:r>
        <w:rPr>
          <w:b/>
          <w:bCs/>
          <w:color w:val="B8461E"/>
          <w:sz w:val="20"/>
          <w:szCs w:val="20"/>
        </w:rPr>
        <w:t xml:space="preserve">[ANZUPASSEN: Abrechnungszeitraum und transparente Reihenfolge der Verrechnung einsetzen]</w:t>
      </w:r>
    </w:p>
    <w:p>
      <w:pPr>
        <w:spacing w:after="200" w:line="300"/>
      </w:pPr>
      <w:r>
        <w:rPr>
          <w:b/>
          <w:bCs/>
          <w:color w:val="18181B"/>
          <w:sz w:val="21"/>
          <w:szCs w:val="21"/>
        </w:rPr>
        <w:t xml:space="preserve">§ 3 Rückforderung</w:t>
      </w:r>
      <w:r>
        <w:br/>
        <w:t xml:space="preserve"/>
      </w:r>
      <w:r>
        <w:rPr>
          <w:color w:val="18181B"/>
          <w:sz w:val="21"/>
          <w:szCs w:val="21"/>
        </w:rPr>
        <w:t xml:space="preserve">Eine Rückforderung kommt nur in Betracht, soweit nach Grundvertrag und zwingendem Recht feststeht, dass der Provisionsanspruch nicht entstanden oder entfallen ist. Vor einer Rückforderung erhält der Vertriebspartner eine nachvollziehbare Abrechnung mit Grund, Betrag und Belegen. Eine Nichtausführung aus der Sphäre des Unternehmers wird nicht auf den Vertriebspartner verlagert.</w:t>
      </w:r>
      <w:r>
        <w:br/>
        <w:t xml:space="preserve"/>
      </w:r>
      <w:r>
        <w:rPr>
          <w:b/>
          <w:bCs/>
          <w:color w:val="B8461E"/>
          <w:sz w:val="20"/>
          <w:szCs w:val="20"/>
        </w:rPr>
        <w:t xml:space="preserve">[ANZUPASSEN: Nachweisweg, Prüfungsfrist und Zahlungsweg einsetzen; keine pauschale Stornohaftung ergänzen]</w:t>
      </w:r>
    </w:p>
    <w:p>
      <w:pPr>
        <w:spacing w:after="200" w:line="300"/>
      </w:pPr>
      <w:r>
        <w:rPr>
          <w:b/>
          <w:bCs/>
          <w:color w:val="18181B"/>
          <w:sz w:val="21"/>
          <w:szCs w:val="21"/>
        </w:rPr>
        <w:t xml:space="preserve">§ 4 Teilzahlungen und Beendigung</w:t>
      </w:r>
      <w:r>
        <w:br/>
        <w:t xml:space="preserve"/>
      </w:r>
      <w:r>
        <w:rPr>
          <w:color w:val="18181B"/>
          <w:sz w:val="21"/>
          <w:szCs w:val="21"/>
        </w:rPr>
        <w:t xml:space="preserve">Teilzahlungen werden anteilig abgerechnet. Die Beendigung des Vertriebspartnervertrags macht einen Vorschuss nicht automatisch rückzahlbar; entscheidend bleiben Provisionslage, Abrechnung und zwingendes Recht.</w:t>
      </w:r>
      <w:r>
        <w:br/>
        <w:t xml:space="preserve"/>
      </w:r>
      <w:r>
        <w:rPr>
          <w:b/>
          <w:bCs/>
          <w:color w:val="B8461E"/>
          <w:sz w:val="20"/>
          <w:szCs w:val="20"/>
        </w:rPr>
        <w:t xml:space="preserve">[ANZUPASSEN: Behandlung konkret benannter Teilzahlungen und offener Abrechnungsperioden einsetzen]</w:t>
      </w:r>
    </w:p>
    <w:p>
      <w:pPr>
        <w:pStyle w:val="Heading1"/>
        <w:keepNext/>
        <w:spacing w:after="120" w:before="320"/>
      </w:pPr>
      <w:r>
        <w:rPr>
          <w:b/>
          <w:bCs/>
          <w:color w:val="18181B"/>
          <w:sz w:val="26"/>
          <w:szCs w:val="26"/>
        </w:rPr>
        <w:t xml:space="preserve">2 · Prüffelder vor Freigabe</w:t>
      </w:r>
    </w:p>
    <w:p>
      <w:pPr>
        <w:spacing w:after="160" w:line="300"/>
      </w:pPr>
      <w:r>
        <w:rPr>
          <w:color w:val="18181B"/>
          <w:sz w:val="21"/>
          <w:szCs w:val="21"/>
        </w:rPr>
        <w:t xml:space="preserve">Handelsvertreterstatus geprüft durch:</w:t>
      </w:r>
      <w:r>
        <w:rPr>
          <w:b/>
          <w:bCs/>
          <w:color w:val="B8461E"/>
          <w:sz w:val="19"/>
          <w:szCs w:val="19"/>
        </w:rPr>
        <w:t xml:space="preserve"> [ANZUPASSEN: Name, Funktion und Datum der anwaltlichen Prüfung einsetzen]</w:t>
      </w:r>
    </w:p>
    <w:p>
      <w:pPr>
        <w:spacing w:after="160" w:line="300"/>
      </w:pPr>
      <w:r>
        <w:rPr>
          <w:color w:val="18181B"/>
          <w:sz w:val="21"/>
          <w:szCs w:val="21"/>
        </w:rPr>
        <w:t xml:space="preserve">Abgleich mit § 87a HGB:</w:t>
      </w:r>
      <w:r>
        <w:rPr>
          <w:b/>
          <w:bCs/>
          <w:color w:val="B8461E"/>
          <w:sz w:val="19"/>
          <w:szCs w:val="19"/>
        </w:rPr>
        <w:t xml:space="preserve"> [ANZUPASSEN: Ergebnis der Prüfung von Entstehung, Wegfall, Nichtausführung und Fälligkeit dokumentieren]</w:t>
      </w:r>
    </w:p>
    <w:p>
      <w:pPr>
        <w:pBdr>
          <w:bottom w:val="single" w:color="B9B9C0" w:sz="6" w:space="2"/>
        </w:pBdr>
        <w:spacing w:after="0" w:before="420"/>
      </w:pPr>
      <w:r>
        <w:rPr>
          <w:sz w:val="21"/>
          <w:szCs w:val="21"/>
        </w:rPr>
        <w:t xml:space="preserve"> </w:t>
      </w:r>
    </w:p>
    <w:p>
      <w:pPr>
        <w:spacing w:after="120"/>
      </w:pPr>
      <w:r>
        <w:rPr>
          <w:color w:val="6B6B74"/>
          <w:sz w:val="17"/>
          <w:szCs w:val="17"/>
        </w:rPr>
        <w:t xml:space="preserve">Ort, Datum · Unternehmer</w:t>
      </w:r>
    </w:p>
    <w:p>
      <w:pPr>
        <w:pBdr>
          <w:bottom w:val="single" w:color="B9B9C0" w:sz="6" w:space="2"/>
        </w:pBdr>
        <w:spacing w:after="0" w:before="420"/>
      </w:pPr>
      <w:r>
        <w:rPr>
          <w:sz w:val="21"/>
          <w:szCs w:val="21"/>
        </w:rPr>
        <w:t xml:space="preserve"> </w:t>
      </w:r>
    </w:p>
    <w:p>
      <w:pPr>
        <w:spacing w:after="120"/>
      </w:pPr>
      <w:r>
        <w:rPr>
          <w:color w:val="6B6B74"/>
          <w:sz w:val="17"/>
          <w:szCs w:val="17"/>
        </w:rPr>
        <w:t xml:space="preserve">Ort, Datum · Vertriebspartner</w:t>
      </w:r>
    </w:p>
    <w:p>
      <w:pPr>
        <w:pStyle w:val="Heading1"/>
        <w:keepNext/>
        <w:spacing w:after="120" w:before="320"/>
      </w:pPr>
      <w:r>
        <w:rPr>
          <w:b/>
          <w:bCs/>
          <w:color w:val="18181B"/>
          <w:sz w:val="26"/>
          <w:szCs w:val="26"/>
        </w:rPr>
        <w:t xml:space="preserve">Primärquellen und Prüfstand</w:t>
      </w:r>
    </w:p>
    <w:p>
      <w:pPr>
        <w:spacing w:after="140" w:line="300"/>
      </w:pPr>
      <w:r>
        <w:rPr>
          <w:b w:val="false"/>
          <w:bCs w:val="false"/>
          <w:color w:val="6B6B74"/>
          <w:sz w:val="17"/>
          <w:szCs w:val="17"/>
        </w:rPr>
        <w:t xml:space="preserve">Die folgenden Fundstellen begründen die gesetzlichen Leitplanken dieses Musters. Die Liste ersetzt weder die Prüfung der aktuellen Fassung noch die Prüfung des Einzelfalls.</w:t>
      </w:r>
    </w:p>
    <w:p>
      <w:pPr>
        <w:spacing w:after="140" w:line="300"/>
      </w:pPr>
      <w:r>
        <w:rPr>
          <w:b w:val="false"/>
          <w:bCs w:val="false"/>
          <w:color w:val="18181B"/>
          <w:sz w:val="17"/>
          <w:szCs w:val="17"/>
        </w:rPr>
        <w:t xml:space="preserve">§ 84 HGB — Begriff des Handelsvertreters — https://www.gesetze-im-internet.de/hgb/__84.html</w:t>
      </w:r>
    </w:p>
    <w:p>
      <w:pPr>
        <w:spacing w:after="140" w:line="300"/>
      </w:pPr>
      <w:r>
        <w:rPr>
          <w:b w:val="false"/>
          <w:bCs w:val="false"/>
          <w:color w:val="18181B"/>
          <w:sz w:val="17"/>
          <w:szCs w:val="17"/>
        </w:rPr>
        <w:t xml:space="preserve">§ 87a HGB — Provisionsanspruch und Abweichungsverbot in Absatz 5 — https://www.gesetze-im-internet.de/hgb/__87a.html</w:t>
      </w:r>
    </w:p>
    <w:p>
      <w:pPr>
        <w:spacing w:after="140" w:line="300"/>
      </w:pPr>
      <w:r>
        <w:rPr>
          <w:b w:val="false"/>
          <w:bCs w:val="false"/>
          <w:color w:val="18181B"/>
          <w:sz w:val="17"/>
          <w:szCs w:val="17"/>
        </w:rPr>
        <w:t xml:space="preserve">§ 87c HGB — Abrechnung, Buchauszug und unabdingbare Informationsrechte — https://www.gesetze-im-internet.de/hgb/__87c.html</w:t>
      </w:r>
    </w:p>
    <w:sectPr>
      <w:headerReference w:type="default" r:id="rId7"/>
      <w:footerReference w:type="default" r:id="rId8"/>
      <w:pgSz w:w="11906" w:h="16838" w:orient="portrait"/>
      <w:pgMar w:top="1134" w:right="1021" w:bottom="1247" w:left="102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6B74"/>
        <w:sz w:val="15"/>
        <w:szCs w:val="15"/>
      </w:rPr>
      <w:t xml:space="preserve">Stand 16.08.2026 · myinvest-pro.de · Seite </w:t>
    </w:r>
    <w:r>
      <w:rPr>
        <w:color w:val="6B6B74"/>
        <w:sz w:val="15"/>
        <w:szCs w:val="15"/>
      </w:rPr>
      <w:fldChar w:fldCharType="begin"/>
      <w:instrText xml:space="preserve">PAGE</w:instrText>
      <w:fldChar w:fldCharType="separate"/>
      <w:fldChar w:fldCharType="end"/>
    </w:r>
    <w:r>
      <w:rPr>
        <w:color w:val="6B6B74"/>
        <w:sz w:val="15"/>
        <w:szCs w:val="15"/>
      </w:rPr>
      <w:t xml:space="preserve"> von </w:t>
    </w:r>
    <w:r>
      <w:rPr>
        <w:color w:val="6B6B74"/>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74"/>
        <w:sz w:val="15"/>
        <w:szCs w:val="15"/>
      </w:rPr>
      <w:t xml:space="preserve">Vorschussvereinbarung Provision · MyInvest Pro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8181B"/>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Vorschussvereinbarung Provision</dc:title>
  <dc:creator>MyInvest Pro</dc:creator>
  <dc:description>Herabgestufter Musterrahmen — Provisionsvorschuss ohne pauschale Verlagerung des Unternehmerrisikos</dc:description>
  <cp:lastModifiedBy>MyInvest Pro</cp:lastModifiedBy>
  <cp:revision>1</cp:revision>
  <dcterms:created xsi:type="dcterms:W3CDTF">2026-08-16T00:00:00Z</dcterms:created>
  <dcterms:modified xsi:type="dcterms:W3CDTF">2026-08-16T00:00:00Z</dcterms:modified>
</cp:coreProperties>
</file>

<file path=docProps/custom.xml><?xml version="1.0" encoding="utf-8"?>
<Properties xmlns="http://schemas.openxmlformats.org/officeDocument/2006/custom-properties" xmlns:vt="http://schemas.openxmlformats.org/officeDocument/2006/docPropsVTypes"/>
</file>