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B8461E"/>
          <w:spacing w:val="40"/>
          <w:sz w:val="16"/>
          <w:szCs w:val="16"/>
        </w:rPr>
        <w:t xml:space="preserve">MYINVEST PRO</w:t>
      </w:r>
    </w:p>
    <w:p>
      <w:pPr>
        <w:spacing w:after="80"/>
      </w:pPr>
      <w:r>
        <w:rPr>
          <w:b/>
          <w:bCs/>
          <w:color w:val="18181B"/>
          <w:sz w:val="34"/>
          <w:szCs w:val="34"/>
        </w:rPr>
        <w:t xml:space="preserve">Widerrufsbelehrung mit Muster-Widerrufsformular</w:t>
      </w:r>
    </w:p>
    <w:p>
      <w:pPr>
        <w:spacing w:after="160"/>
      </w:pPr>
      <w:r>
        <w:rPr>
          <w:color w:val="6B6B74"/>
          <w:sz w:val="22"/>
          <w:szCs w:val="22"/>
        </w:rPr>
        <w:t xml:space="preserve">Anlage 1 und Anlage 2 zum EGBGB im amtlichen Wortlaut — ausgelegt auf den Maklervertrag im Fernabsatz und außerhalb von Geschäftsräumen</w:t>
      </w:r>
    </w:p>
    <w:p>
      <w:pPr>
        <w:pBdr>
          <w:bottom w:val="single" w:color="E4E4E8" w:sz="6" w:space="8"/>
        </w:pBdr>
        <w:spacing w:after="160"/>
      </w:pPr>
      <w:r>
        <w:rPr>
          <w:color w:val="6B6B74"/>
          <w:sz w:val="18"/>
          <w:szCs w:val="18"/>
        </w:rPr>
        <w:t xml:space="preserve">Stand: 16.08.2026 · Version 1</w:t>
      </w:r>
    </w:p>
    <w:p>
      <w:pPr>
        <w:spacing w:after="280"/>
      </w:pPr>
      <w:r>
        <w:rPr>
          <w:i/>
          <w:iCs/>
          <w:color w:val="6B6B74"/>
          <w:sz w:val="17"/>
          <w:szCs w:val="17"/>
        </w:rPr>
        <w:t xml:space="preserve">Muster zum Weiterarbeiten, nicht unterschriftsreif — die mit [ANZUPASSEN: …] markierten Stellen entscheiden Sie für Ihren Fall selbst, und auch der übrige Text passt nicht automatisch auf Ihr Vorhaben. Wir prüfen Ihren Einzelfall nicht und dürfen das auch nicht: Das ist Rechtsdienstleistung nach § 2 Abs. 1 RDG und Sache einer Rechtsanwältin oder eines Rechtsanwalts. Lassen Sie das Dokument vor der Verwendung anwaltlich prüfen. Für Inhalt, Vollständigkeit und Eignung im konkreten Fall können wir nicht einstehen. Rechtsstand: 16.08.2026 · Version 1. Recht und Rechtsprechung ändern sich — liegt dieses Datum mehr als zwölf Monate zurück, gilt: erst prüfen, dann verwenden.</w:t>
      </w:r>
    </w:p>
    <w:tbl>
      <w:tblPr>
        <w:tblW w:type="dxa" w:w="9864"/>
        <w:tblBorders>
          <w:top w:val="single" w:color="B8461E" w:sz="6"/>
          <w:left w:val="single" w:color="B8461E" w:sz="6"/>
          <w:bottom w:val="single" w:color="B8461E" w:sz="6"/>
          <w:right w:val="single" w:color="B8461E" w:sz="6"/>
          <w:insideH w:val="single" w:color="auto" w:sz="4"/>
          <w:insideV w:val="single" w:color="auto" w:sz="4"/>
        </w:tblBorders>
      </w:tblPr>
      <w:tblGrid>
        <w:gridCol w:w="9864"/>
      </w:tblGrid>
      <w:tr>
        <w:tc>
          <w:tcPr>
            <w:shd w:fill="FDF6F2" w:val="clear"/>
            <w:tcMar>
              <w:top w:type="dxa" w:w="160"/>
              <w:left w:type="dxa" w:w="200"/>
              <w:bottom w:type="dxa" w:w="160"/>
              <w:right w:type="dxa" w:w="200"/>
            </w:tcMar>
          </w:tcPr>
          <w:p>
            <w:pPr>
              <w:spacing w:after="100"/>
            </w:pPr>
            <w:r>
              <w:rPr>
                <w:b/>
                <w:bCs/>
                <w:color w:val="B8461E"/>
                <w:sz w:val="20"/>
                <w:szCs w:val="20"/>
              </w:rPr>
              <w:t xml:space="preserve">Vor der Verwendung zu prüfen</w:t>
            </w:r>
          </w:p>
          <w:p>
            <w:pPr>
              <w:spacing w:after="90" w:line="280"/>
            </w:pPr>
            <w:r>
              <w:rPr>
                <w:color w:val="18181B"/>
                <w:sz w:val="19"/>
                <w:szCs w:val="19"/>
              </w:rPr>
              <w:t xml:space="preserve">Der Rahmen auf der nächsten Seite ist ein amtliches Muster. Sein Wortlaut darf nicht verändert, gekürzt oder umformuliert werden — ersetzt werden ausschließlich die sechs mit [ANZUPASSEN: …] bezeichneten Stellen. Jede inhaltliche Abweichung kostet die Gesetzlichkeitsfiktion aus Artikel 246a § 1 Absatz 2 Satz 2 EGBGB.</w:t>
            </w:r>
          </w:p>
          <w:p>
            <w:pPr>
              <w:spacing w:after="90" w:line="280"/>
            </w:pPr>
            <w:r>
              <w:rPr>
                <w:color w:val="18181B"/>
                <w:sz w:val="19"/>
                <w:szCs w:val="19"/>
              </w:rPr>
              <w:t xml:space="preserve">Welcher Textbaustein an Marker 1 gehört, ist eine Rechtsfrage und keine Formatierungsfrage. Hier ist Baustein a) für den Maklervertrag eingesetzt; das ist eine Voreinstellung und keine Prüfung Ihres Falls.</w:t>
            </w:r>
          </w:p>
          <w:p>
            <w:pPr>
              <w:spacing w:after="0" w:line="280"/>
            </w:pPr>
            <w:r>
              <w:rPr>
                <w:color w:val="18181B"/>
                <w:sz w:val="19"/>
                <w:szCs w:val="19"/>
              </w:rPr>
              <w:t xml:space="preserve">Prüfen Sie zuerst, ob überhaupt ein Fernabsatzvertrag oder ein außerhalb von Geschäftsräumen geschlossener Vertrag vorliegt. § 312b Absatz 1 Nummer 3 BGB erfasst auch den in Ihren Geschäftsräumen unterschriebenen Vertrag, wenn der Kunde unmittelbar zuvor außerhalb davon persönlich und individuell angesprochen wurde. Besteht kein Widerrufsrecht, ist die Belehrung überflüssig; besteht eines und fehlt die Belehrung, läuft die Frist nicht an.</w:t>
            </w:r>
          </w:p>
        </w:tc>
      </w:tr>
    </w:tbl>
    <w:p>
      <w:pPr>
        <w:pStyle w:val="Heading1"/>
        <w:keepNext/>
        <w:spacing w:after="120" w:before="320"/>
      </w:pPr>
      <w:r>
        <w:rPr>
          <w:b/>
          <w:bCs/>
          <w:color w:val="18181B"/>
          <w:sz w:val="26"/>
          <w:szCs w:val="26"/>
        </w:rPr>
        <w:t xml:space="preserve">So füllen Sie das Muster aus</w:t>
      </w:r>
    </w:p>
    <w:p>
      <w:pPr>
        <w:spacing w:after="140" w:line="300"/>
      </w:pPr>
      <w:r>
        <w:rPr>
          <w:b w:val="false"/>
          <w:bCs w:val="false"/>
          <w:color w:val="18181B"/>
          <w:sz w:val="21"/>
          <w:szCs w:val="21"/>
        </w:rPr>
        <w:t xml:space="preserve">Der amtliche Text steht unverändert im Rahmen. Sechs Marker geben an, wo etwas einzusetzen ist; die Tabelle sagt, was dort hingehört und was passiert, wenn es fehlt oder falsch ist. Arbeiten Sie die Marker der Reihe nach ab und löschen Sie jede eckige Klammer, sobald sie erledigt ist. Bleibt eine stehen, geht das Muster mit einem Arbeitsvermerk an den Kunden.</w:t>
      </w:r>
    </w:p>
    <w:tbl>
      <w:tblPr>
        <w:tblW w:type="dxa" w:w="9864"/>
        <w:tblBorders>
          <w:top w:val="single" w:color="E4E4E8" w:sz="6"/>
          <w:left w:val="single" w:color="E4E4E8" w:sz="6"/>
          <w:bottom w:val="single" w:color="E4E4E8" w:sz="6"/>
          <w:right w:val="single" w:color="E4E4E8" w:sz="6"/>
          <w:insideH w:val="single" w:color="E4E4E8" w:sz="6"/>
          <w:insideV w:val="single" w:color="E4E4E8" w:sz="6"/>
        </w:tblBorders>
      </w:tblPr>
      <w:tblGrid>
        <w:gridCol w:w="820"/>
        <w:gridCol w:w="3900"/>
        <w:gridCol w:w="5144"/>
      </w:tblGrid>
      <w:tr>
        <w:trPr>
          <w:tblHeader/>
        </w:trPr>
        <w:tc>
          <w:tcPr>
            <w:tcW w:type="dxa" w:w="820"/>
            <w:shd w:fill="FAF7F5" w:val="clear"/>
            <w:tcMar>
              <w:top w:type="dxa" w:w="110"/>
              <w:left w:type="dxa" w:w="130"/>
              <w:bottom w:type="dxa" w:w="110"/>
              <w:right w:type="dxa" w:w="130"/>
            </w:tcMar>
          </w:tcPr>
          <w:p>
            <w:pPr>
              <w:spacing w:after="0" w:line="260"/>
            </w:pPr>
            <w:r>
              <w:rPr>
                <w:b/>
                <w:bCs/>
                <w:color w:val="18181B"/>
                <w:sz w:val="17"/>
                <w:szCs w:val="17"/>
              </w:rPr>
              <w:t xml:space="preserve">Marker</w:t>
            </w:r>
          </w:p>
        </w:tc>
        <w:tc>
          <w:tcPr>
            <w:tcW w:type="dxa" w:w="3900"/>
            <w:shd w:fill="FAF7F5" w:val="clear"/>
            <w:tcMar>
              <w:top w:type="dxa" w:w="110"/>
              <w:left w:type="dxa" w:w="130"/>
              <w:bottom w:type="dxa" w:w="110"/>
              <w:right w:type="dxa" w:w="130"/>
            </w:tcMar>
          </w:tcPr>
          <w:p>
            <w:pPr>
              <w:spacing w:after="0" w:line="260"/>
            </w:pPr>
            <w:r>
              <w:rPr>
                <w:b/>
                <w:bCs/>
                <w:color w:val="18181B"/>
                <w:sz w:val="17"/>
                <w:szCs w:val="17"/>
              </w:rPr>
              <w:t xml:space="preserve">Was einzusetzen ist</w:t>
            </w:r>
          </w:p>
        </w:tc>
        <w:tc>
          <w:tcPr>
            <w:tcW w:type="dxa" w:w="5144"/>
            <w:shd w:fill="FAF7F5" w:val="clear"/>
            <w:tcMar>
              <w:top w:type="dxa" w:w="110"/>
              <w:left w:type="dxa" w:w="130"/>
              <w:bottom w:type="dxa" w:w="110"/>
              <w:right w:type="dxa" w:w="130"/>
            </w:tcMar>
          </w:tcPr>
          <w:p>
            <w:pPr>
              <w:spacing w:after="0" w:line="260"/>
            </w:pPr>
            <w:r>
              <w:rPr>
                <w:b/>
                <w:bCs/>
                <w:color w:val="18181B"/>
                <w:sz w:val="17"/>
                <w:szCs w:val="17"/>
              </w:rPr>
              <w:t xml:space="preserve">Warum es gefährlich ist, wenn es falsch ist</w:t>
            </w:r>
          </w:p>
        </w:tc>
      </w:tr>
      <w:tr>
        <w:trPr>
          <w:cantSplit/>
        </w:trPr>
        <w:tc>
          <w:tcPr>
            <w:tcW w:type="dxa" w:w="820"/>
            <w:tcMar>
              <w:top w:type="dxa" w:w="110"/>
              <w:left w:type="dxa" w:w="130"/>
              <w:bottom w:type="dxa" w:w="110"/>
              <w:right w:type="dxa" w:w="130"/>
            </w:tcMar>
          </w:tcPr>
          <w:p>
            <w:pPr>
              <w:spacing w:after="0" w:line="260"/>
            </w:pPr>
            <w:r>
              <w:rPr>
                <w:b w:val="false"/>
                <w:bCs w:val="false"/>
                <w:color w:val="18181B"/>
                <w:sz w:val="18"/>
                <w:szCs w:val="18"/>
              </w:rPr>
              <w:t xml:space="preserve">1</w:t>
            </w:r>
          </w:p>
        </w:tc>
        <w:tc>
          <w:tcPr>
            <w:tcW w:type="dxa" w:w="3900"/>
            <w:tcMar>
              <w:top w:type="dxa" w:w="110"/>
              <w:left w:type="dxa" w:w="130"/>
              <w:bottom w:type="dxa" w:w="110"/>
              <w:right w:type="dxa" w:w="130"/>
            </w:tcMar>
          </w:tcPr>
          <w:p>
            <w:pPr>
              <w:spacing w:after="60" w:line="260"/>
            </w:pPr>
            <w:r>
              <w:rPr>
                <w:b w:val="false"/>
                <w:bCs w:val="false"/>
                <w:color w:val="18181B"/>
                <w:sz w:val="18"/>
                <w:szCs w:val="18"/>
              </w:rPr>
              <w:t xml:space="preserve">Baustein a) aus Gestaltungshinweis 1: „des Vertragsabschlusses."</w:t>
            </w:r>
          </w:p>
          <w:p>
            <w:pPr>
              <w:spacing w:after="0" w:line="260"/>
            </w:pPr>
            <w:r>
              <w:rPr>
                <w:b w:val="false"/>
                <w:bCs w:val="false"/>
                <w:color w:val="18181B"/>
                <w:sz w:val="18"/>
                <w:szCs w:val="18"/>
              </w:rPr>
              <w:t xml:space="preserve">Bereits eingesetzt — prüfen und dann nur die Klammer löschen.</w:t>
            </w:r>
          </w:p>
        </w:tc>
        <w:tc>
          <w:tcPr>
            <w:tcW w:type="dxa" w:w="5144"/>
            <w:tcMar>
              <w:top w:type="dxa" w:w="110"/>
              <w:left w:type="dxa" w:w="130"/>
              <w:bottom w:type="dxa" w:w="110"/>
              <w:right w:type="dxa" w:w="130"/>
            </w:tcMar>
          </w:tcPr>
          <w:p>
            <w:pPr>
              <w:spacing w:after="0" w:line="260"/>
            </w:pPr>
            <w:r>
              <w:rPr>
                <w:b w:val="false"/>
                <w:bCs w:val="false"/>
                <w:color w:val="18181B"/>
                <w:sz w:val="18"/>
                <w:szCs w:val="18"/>
              </w:rPr>
              <w:t xml:space="preserve">Der Maklervertrag ist ein Dienstleistungsvertrag, die Frist beginnt mit Vertragsschluss (§ 355 Absatz 2 Satz 2 BGB). § 356 Absatz 2 BGB verschiebt den Fristbeginn nur beim Verbrauchsgüterkauf und bei Versorgungsleistungen und gilt hier nicht. Ein Warenbaustein an dieser Stelle nennt einen Fristbeginn, den es in diesem Vertrag nicht gibt.</w:t>
            </w:r>
          </w:p>
        </w:tc>
      </w:tr>
      <w:tr>
        <w:trPr>
          <w:cantSplit/>
        </w:trPr>
        <w:tc>
          <w:tcPr>
            <w:tcW w:type="dxa" w:w="820"/>
            <w:shd w:fill="FBFBFC" w:val="clear"/>
            <w:tcMar>
              <w:top w:type="dxa" w:w="110"/>
              <w:left w:type="dxa" w:w="130"/>
              <w:bottom w:type="dxa" w:w="110"/>
              <w:right w:type="dxa" w:w="130"/>
            </w:tcMar>
          </w:tcPr>
          <w:p>
            <w:pPr>
              <w:spacing w:after="0" w:line="260"/>
            </w:pPr>
            <w:r>
              <w:rPr>
                <w:b w:val="false"/>
                <w:bCs w:val="false"/>
                <w:color w:val="18181B"/>
                <w:sz w:val="18"/>
                <w:szCs w:val="18"/>
              </w:rPr>
              <w:t xml:space="preserve">2</w:t>
            </w:r>
          </w:p>
        </w:tc>
        <w:tc>
          <w:tcPr>
            <w:tcW w:type="dxa" w:w="3900"/>
            <w:shd w:fill="FBFBFC" w:val="clear"/>
            <w:tcMar>
              <w:top w:type="dxa" w:w="110"/>
              <w:left w:type="dxa" w:w="130"/>
              <w:bottom w:type="dxa" w:w="110"/>
              <w:right w:type="dxa" w:w="130"/>
            </w:tcMar>
          </w:tcPr>
          <w:p>
            <w:pPr>
              <w:spacing w:after="0" w:line="260"/>
            </w:pPr>
            <w:r>
              <w:rPr>
                <w:b w:val="false"/>
                <w:bCs w:val="false"/>
                <w:color w:val="18181B"/>
                <w:sz w:val="18"/>
                <w:szCs w:val="18"/>
              </w:rPr>
              <w:t xml:space="preserve">Name, Anschrift, Telefonnummer und E-Mail-Adresse — alle vier Angaben.</w:t>
            </w:r>
          </w:p>
        </w:tc>
        <w:tc>
          <w:tcPr>
            <w:tcW w:type="dxa" w:w="5144"/>
            <w:shd w:fill="FBFBFC" w:val="clear"/>
            <w:tcMar>
              <w:top w:type="dxa" w:w="110"/>
              <w:left w:type="dxa" w:w="130"/>
              <w:bottom w:type="dxa" w:w="110"/>
              <w:right w:type="dxa" w:w="130"/>
            </w:tcMar>
          </w:tcPr>
          <w:p>
            <w:pPr>
              <w:spacing w:after="0" w:line="260"/>
            </w:pPr>
            <w:r>
              <w:rPr>
                <w:b w:val="false"/>
                <w:bCs w:val="false"/>
                <w:color w:val="18181B"/>
                <w:sz w:val="18"/>
                <w:szCs w:val="18"/>
              </w:rPr>
              <w:t xml:space="preserve">Die Telefonnummer wird am häufigsten vergessen. Fehlt eine der vier Angaben, ist das Muster nicht „zutreffend ausgefüllt" im Sinne von Artikel 246a § 1 Absatz 2 Satz 2 EGBGB — die Gesetzlichkeitsfiktion trägt dann die gesamte Belehrung nicht mehr.</w:t>
            </w:r>
          </w:p>
        </w:tc>
      </w:tr>
      <w:tr>
        <w:trPr>
          <w:cantSplit/>
        </w:trPr>
        <w:tc>
          <w:tcPr>
            <w:tcW w:type="dxa" w:w="820"/>
            <w:tcMar>
              <w:top w:type="dxa" w:w="110"/>
              <w:left w:type="dxa" w:w="130"/>
              <w:bottom w:type="dxa" w:w="110"/>
              <w:right w:type="dxa" w:w="130"/>
            </w:tcMar>
          </w:tcPr>
          <w:p>
            <w:pPr>
              <w:spacing w:after="0" w:line="260"/>
            </w:pPr>
            <w:r>
              <w:rPr>
                <w:b w:val="false"/>
                <w:bCs w:val="false"/>
                <w:color w:val="18181B"/>
                <w:sz w:val="18"/>
                <w:szCs w:val="18"/>
              </w:rPr>
              <w:t xml:space="preserve">3</w:t>
            </w:r>
          </w:p>
        </w:tc>
        <w:tc>
          <w:tcPr>
            <w:tcW w:type="dxa" w:w="3900"/>
            <w:tcMar>
              <w:top w:type="dxa" w:w="110"/>
              <w:left w:type="dxa" w:w="130"/>
              <w:bottom w:type="dxa" w:w="110"/>
              <w:right w:type="dxa" w:w="130"/>
            </w:tcMar>
          </w:tcPr>
          <w:p>
            <w:pPr>
              <w:spacing w:after="0" w:line="260"/>
            </w:pPr>
            <w:r>
              <w:rPr>
                <w:b w:val="false"/>
                <w:bCs w:val="false"/>
                <w:color w:val="18181B"/>
                <w:sz w:val="18"/>
                <w:szCs w:val="18"/>
              </w:rPr>
              <w:t xml:space="preserve">Nur bei Pflicht zur elektronischen Widerrufsfunktion (§ 356a BGB): den Textbaustein aus Gestaltungshinweis 3. Sonst die Klammer ersatzlos löschen.</w:t>
            </w:r>
          </w:p>
        </w:tc>
        <w:tc>
          <w:tcPr>
            <w:tcW w:type="dxa" w:w="5144"/>
            <w:tcMar>
              <w:top w:type="dxa" w:w="110"/>
              <w:left w:type="dxa" w:w="130"/>
              <w:bottom w:type="dxa" w:w="110"/>
              <w:right w:type="dxa" w:w="130"/>
            </w:tcMar>
          </w:tcPr>
          <w:p>
            <w:pPr>
              <w:spacing w:after="0" w:line="260"/>
            </w:pPr>
            <w:r>
              <w:rPr>
                <w:b w:val="false"/>
                <w:bCs w:val="false"/>
                <w:color w:val="18181B"/>
                <w:sz w:val="18"/>
                <w:szCs w:val="18"/>
              </w:rPr>
              <w:t xml:space="preserve">Seit 2026 neu; dieser Hinweis hat die früheren Marker 3 bis 5 auf 4 bis 6 verschoben. Die Pflicht trifft Fernabsatzverträge, die über eine Online-Benutzeroberfläche geschlossen werden. Wer sie schuldet und den Hinweis weglässt, belehrt unvollständig; wer sie nicht schuldet und den Hinweis stehen lässt, verspricht eine Schaltfläche, die es nicht gibt.</w:t>
            </w:r>
          </w:p>
        </w:tc>
      </w:tr>
      <w:tr>
        <w:trPr>
          <w:cantSplit/>
        </w:trPr>
        <w:tc>
          <w:tcPr>
            <w:tcW w:type="dxa" w:w="820"/>
            <w:shd w:fill="FBFBFC" w:val="clear"/>
            <w:tcMar>
              <w:top w:type="dxa" w:w="110"/>
              <w:left w:type="dxa" w:w="130"/>
              <w:bottom w:type="dxa" w:w="110"/>
              <w:right w:type="dxa" w:w="130"/>
            </w:tcMar>
          </w:tcPr>
          <w:p>
            <w:pPr>
              <w:spacing w:after="0" w:line="260"/>
            </w:pPr>
            <w:r>
              <w:rPr>
                <w:b w:val="false"/>
                <w:bCs w:val="false"/>
                <w:color w:val="18181B"/>
                <w:sz w:val="18"/>
                <w:szCs w:val="18"/>
              </w:rPr>
              <w:t xml:space="preserve">4</w:t>
            </w:r>
          </w:p>
        </w:tc>
        <w:tc>
          <w:tcPr>
            <w:tcW w:type="dxa" w:w="3900"/>
            <w:shd w:fill="FBFBFC" w:val="clear"/>
            <w:tcMar>
              <w:top w:type="dxa" w:w="110"/>
              <w:left w:type="dxa" w:w="130"/>
              <w:bottom w:type="dxa" w:w="110"/>
              <w:right w:type="dxa" w:w="130"/>
            </w:tcMar>
          </w:tcPr>
          <w:p>
            <w:pPr>
              <w:spacing w:after="0" w:line="260"/>
            </w:pPr>
            <w:r>
              <w:rPr>
                <w:b w:val="false"/>
                <w:bCs w:val="false"/>
                <w:color w:val="18181B"/>
                <w:sz w:val="18"/>
                <w:szCs w:val="18"/>
              </w:rPr>
              <w:t xml:space="preserve">Nichts. Die Klammer ersatzlos löschen.</w:t>
            </w:r>
          </w:p>
        </w:tc>
        <w:tc>
          <w:tcPr>
            <w:tcW w:type="dxa" w:w="5144"/>
            <w:shd w:fill="FBFBFC" w:val="clear"/>
            <w:tcMar>
              <w:top w:type="dxa" w:w="110"/>
              <w:left w:type="dxa" w:w="130"/>
              <w:bottom w:type="dxa" w:w="110"/>
              <w:right w:type="dxa" w:w="130"/>
            </w:tcMar>
          </w:tcPr>
          <w:p>
            <w:pPr>
              <w:spacing w:after="0" w:line="260"/>
            </w:pPr>
            <w:r>
              <w:rPr>
                <w:b w:val="false"/>
                <w:bCs w:val="false"/>
                <w:color w:val="18181B"/>
                <w:sz w:val="18"/>
                <w:szCs w:val="18"/>
              </w:rPr>
              <w:t xml:space="preserve">Gestaltungshinweis 4 betrifft das Zurückbehaltungsrecht bei der Rücksendung von Waren und passt nur zu Kaufverträgen. In einer Maklerbelehrung stünde damit eine Verweigerung der Rückzahlung ohne jeden Anknüpfungspunkt — angreifbar und für den Verbraucher irreführend.</w:t>
            </w:r>
          </w:p>
        </w:tc>
      </w:tr>
      <w:tr>
        <w:trPr>
          <w:cantSplit/>
        </w:trPr>
        <w:tc>
          <w:tcPr>
            <w:tcW w:type="dxa" w:w="820"/>
            <w:tcMar>
              <w:top w:type="dxa" w:w="110"/>
              <w:left w:type="dxa" w:w="130"/>
              <w:bottom w:type="dxa" w:w="110"/>
              <w:right w:type="dxa" w:w="130"/>
            </w:tcMar>
          </w:tcPr>
          <w:p>
            <w:pPr>
              <w:spacing w:after="0" w:line="260"/>
            </w:pPr>
            <w:r>
              <w:rPr>
                <w:b w:val="false"/>
                <w:bCs w:val="false"/>
                <w:color w:val="18181B"/>
                <w:sz w:val="18"/>
                <w:szCs w:val="18"/>
              </w:rPr>
              <w:t xml:space="preserve">5</w:t>
            </w:r>
          </w:p>
        </w:tc>
        <w:tc>
          <w:tcPr>
            <w:tcW w:type="dxa" w:w="3900"/>
            <w:tcMar>
              <w:top w:type="dxa" w:w="110"/>
              <w:left w:type="dxa" w:w="130"/>
              <w:bottom w:type="dxa" w:w="110"/>
              <w:right w:type="dxa" w:w="130"/>
            </w:tcMar>
          </w:tcPr>
          <w:p>
            <w:pPr>
              <w:spacing w:after="0" w:line="260"/>
            </w:pPr>
            <w:r>
              <w:rPr>
                <w:b w:val="false"/>
                <w:bCs w:val="false"/>
                <w:color w:val="18181B"/>
                <w:sz w:val="18"/>
                <w:szCs w:val="18"/>
              </w:rPr>
              <w:t xml:space="preserve">Nichts. Die ganze Zeile im Rahmen löschen.</w:t>
            </w:r>
          </w:p>
        </w:tc>
        <w:tc>
          <w:tcPr>
            <w:tcW w:type="dxa" w:w="5144"/>
            <w:tcMar>
              <w:top w:type="dxa" w:w="110"/>
              <w:left w:type="dxa" w:w="130"/>
              <w:bottom w:type="dxa" w:w="110"/>
              <w:right w:type="dxa" w:w="130"/>
            </w:tcMar>
          </w:tcPr>
          <w:p>
            <w:pPr>
              <w:spacing w:after="0" w:line="260"/>
            </w:pPr>
            <w:r>
              <w:rPr>
                <w:b w:val="false"/>
                <w:bCs w:val="false"/>
                <w:color w:val="18181B"/>
                <w:sz w:val="18"/>
                <w:szCs w:val="18"/>
              </w:rPr>
              <w:t xml:space="preserve">Gestaltungshinweis 5 regelt Rücksendung, Rücksendekosten und Wertersatz für Waren. Beim Maklervertrag wird keine Ware übergeben; der Block liefe leer und weckte falsche Erwartungen an die Rückabwicklung.</w:t>
            </w:r>
          </w:p>
        </w:tc>
      </w:tr>
      <w:tr>
        <w:trPr>
          <w:cantSplit/>
        </w:trPr>
        <w:tc>
          <w:tcPr>
            <w:tcW w:type="dxa" w:w="820"/>
            <w:shd w:fill="FBFBFC" w:val="clear"/>
            <w:tcMar>
              <w:top w:type="dxa" w:w="110"/>
              <w:left w:type="dxa" w:w="130"/>
              <w:bottom w:type="dxa" w:w="110"/>
              <w:right w:type="dxa" w:w="130"/>
            </w:tcMar>
          </w:tcPr>
          <w:p>
            <w:pPr>
              <w:spacing w:after="0" w:line="260"/>
            </w:pPr>
            <w:r>
              <w:rPr>
                <w:b w:val="false"/>
                <w:bCs w:val="false"/>
                <w:color w:val="18181B"/>
                <w:sz w:val="18"/>
                <w:szCs w:val="18"/>
              </w:rPr>
              <w:t xml:space="preserve">6</w:t>
            </w:r>
          </w:p>
        </w:tc>
        <w:tc>
          <w:tcPr>
            <w:tcW w:type="dxa" w:w="3900"/>
            <w:shd w:fill="FBFBFC" w:val="clear"/>
            <w:tcMar>
              <w:top w:type="dxa" w:w="110"/>
              <w:left w:type="dxa" w:w="130"/>
              <w:bottom w:type="dxa" w:w="110"/>
              <w:right w:type="dxa" w:w="130"/>
            </w:tcMar>
          </w:tcPr>
          <w:p>
            <w:pPr>
              <w:spacing w:after="0" w:line="260"/>
            </w:pPr>
            <w:r>
              <w:rPr>
                <w:b w:val="false"/>
                <w:bCs w:val="false"/>
                <w:color w:val="18181B"/>
                <w:sz w:val="18"/>
                <w:szCs w:val="18"/>
              </w:rPr>
              <w:t xml:space="preserve">Den Textbaustein aus Gestaltungshinweis 6 — sobald der Makler auf ausdrückliches Verlangen des Kunden schon vor Ablauf der Widerrufsfrist tätig werden soll.</w:t>
            </w:r>
          </w:p>
        </w:tc>
        <w:tc>
          <w:tcPr>
            <w:tcW w:type="dxa" w:w="5144"/>
            <w:shd w:fill="FBFBFC" w:val="clear"/>
            <w:tcMar>
              <w:top w:type="dxa" w:w="110"/>
              <w:left w:type="dxa" w:w="130"/>
              <w:bottom w:type="dxa" w:w="110"/>
              <w:right w:type="dxa" w:w="130"/>
            </w:tcMar>
          </w:tcPr>
          <w:p>
            <w:pPr>
              <w:spacing w:after="0" w:line="260"/>
            </w:pPr>
            <w:r>
              <w:rPr>
                <w:b w:val="false"/>
                <w:bCs w:val="false"/>
                <w:color w:val="18181B"/>
                <w:sz w:val="18"/>
                <w:szCs w:val="18"/>
              </w:rPr>
              <w:t xml:space="preserve">Ohne diesen Baustein besteht kein Anspruch auf Wertersatz nach § 357a Absatz 2 BGB. Bei einem außerhalb von Geschäftsräumen geschlossenen Vertrag muss das Verlangen zusätzlich auf einem dauerhaften Datenträger vorliegen (§ 357a Absatz 2 Satz 1 Nummer 2 BGB). Wer beides versäumt, wird tätig und der Kunde widerruft folgenlos.</w:t>
            </w:r>
          </w:p>
        </w:tc>
      </w:tr>
    </w:tbl>
    <w:p>
      <w:pPr>
        <w:spacing w:after="140" w:line="300"/>
      </w:pPr>
      <w:r>
        <w:rPr>
          <w:b w:val="false"/>
          <w:bCs w:val="false"/>
          <w:color w:val="6B6B74"/>
          <w:sz w:val="17"/>
          <w:szCs w:val="17"/>
        </w:rPr>
        <w:t xml:space="preserve">Quelle des Wortlauts: Anlage 1 (zu Artikel 246a § 1 Absatz 2 Satz 2) und Anlage 2 (zu Artikel 246a § 1 Absatz 2 Satz 1 Nummer 1 und § 2 Absatz 2 Nummer 2) des Einführungsgesetzes zum Bürgerlichen Gesetzbuche, abgerufen am 16.08.2026 bei gesetze-im-internet.de.</w:t>
      </w:r>
    </w:p>
    <w:p>
      <w:r>
        <w:br w:type="page"/>
      </w:r>
    </w:p>
    <w:p>
      <w:pPr>
        <w:pStyle w:val="Heading1"/>
        <w:keepNext/>
        <w:spacing w:after="120" w:before="320"/>
      </w:pPr>
      <w:r>
        <w:rPr>
          <w:b/>
          <w:bCs/>
          <w:color w:val="18181B"/>
          <w:sz w:val="26"/>
          <w:szCs w:val="26"/>
        </w:rPr>
        <w:t xml:space="preserve">Widerrufsbelehrung — amtlicher Wortlaut</w:t>
      </w:r>
    </w:p>
    <w:p>
      <w:pPr>
        <w:spacing w:after="140" w:line="300"/>
      </w:pPr>
      <w:r>
        <w:rPr>
          <w:b w:val="false"/>
          <w:bCs w:val="false"/>
          <w:color w:val="6B6B74"/>
          <w:sz w:val="17"/>
          <w:szCs w:val="17"/>
        </w:rPr>
        <w:t xml:space="preserve">Anlage 1 (zu Artikel 246a § 1 Absatz 2 Satz 2) EGBGB: Muster für die Widerrufsbelehrung bei außerhalb von Geschäftsräumen geschlossenen Verträgen und bei Fernabsatzverträgen mit Ausnahme von Verträgen über Finanzdienstleistungen.</w:t>
      </w:r>
    </w:p>
    <w:p>
      <w:pPr>
        <w:spacing w:after="140" w:line="300"/>
      </w:pPr>
      <w:r>
        <w:rPr>
          <w:b w:val="false"/>
          <w:bCs w:val="false"/>
          <w:color w:val="18181B"/>
          <w:sz w:val="21"/>
          <w:szCs w:val="21"/>
        </w:rPr>
        <w:t xml:space="preserve">Übermittelt wird die Belehrung in Textform, und zwar so, dass der Verbraucher sie behalten kann. Ein Aushang im Büro oder ein Satz im Gespräch genügt nicht.</w:t>
      </w:r>
    </w:p>
    <w:tbl>
      <w:tblPr>
        <w:tblW w:type="dxa" w:w="9864"/>
        <w:tblBorders>
          <w:top w:val="single" w:color="18181B" w:sz="8"/>
          <w:left w:val="single" w:color="18181B" w:sz="8"/>
          <w:bottom w:val="single" w:color="18181B" w:sz="8"/>
          <w:right w:val="single" w:color="18181B" w:sz="8"/>
          <w:insideH w:val="single" w:color="auto" w:sz="4"/>
          <w:insideV w:val="single" w:color="auto" w:sz="4"/>
        </w:tblBorders>
      </w:tblPr>
      <w:tblGrid>
        <w:gridCol w:w="9864"/>
      </w:tblGrid>
      <w:tr>
        <w:tc>
          <w:tcPr>
            <w:tcMar>
              <w:top w:type="dxa" w:w="220"/>
              <w:left w:type="dxa" w:w="240"/>
              <w:bottom w:type="dxa" w:w="220"/>
              <w:right w:type="dxa" w:w="240"/>
            </w:tcMar>
          </w:tcPr>
          <w:p>
            <w:pPr>
              <w:spacing w:after="140" w:line="300"/>
              <w:jc w:val="center"/>
            </w:pPr>
            <w:r>
              <w:rPr>
                <w:b/>
                <w:bCs/>
                <w:color w:val="18181B"/>
                <w:sz w:val="21"/>
                <w:szCs w:val="21"/>
              </w:rPr>
              <w:t xml:space="preserve">Widerrufsbelehrung</w:t>
            </w:r>
          </w:p>
          <w:p>
            <w:pPr>
              <w:spacing w:after="140" w:line="300"/>
              <w:jc w:val="both"/>
            </w:pPr>
            <w:r>
              <w:rPr>
                <w:b/>
                <w:bCs/>
                <w:color w:val="18181B"/>
                <w:sz w:val="21"/>
                <w:szCs w:val="21"/>
              </w:rPr>
              <w:t xml:space="preserve">Widerrufsrecht</w:t>
            </w:r>
          </w:p>
          <w:p>
            <w:pPr>
              <w:spacing w:after="140" w:line="300"/>
              <w:jc w:val="both"/>
            </w:pPr>
            <w:r>
              <w:rPr>
                <w:b w:val="false"/>
                <w:bCs w:val="false"/>
                <w:color w:val="18181B"/>
                <w:sz w:val="21"/>
                <w:szCs w:val="21"/>
              </w:rPr>
              <w:t xml:space="preserve">Sie haben das Recht, binnen vierzehn Tagen ohne Angabe von Gründen diesen Vertrag zu widerrufen.</w:t>
            </w:r>
          </w:p>
          <w:p>
            <w:pPr>
              <w:spacing w:after="140" w:line="300"/>
              <w:jc w:val="both"/>
            </w:pPr>
            <w:r>
              <w:rPr>
                <w:b w:val="false"/>
                <w:bCs w:val="false"/>
                <w:color w:val="18181B"/>
                <w:sz w:val="21"/>
                <w:szCs w:val="21"/>
              </w:rPr>
              <w:t xml:space="preserve">Die Widerrufsfrist beträgt vierzehn Tage ab dem Tag</w:t>
            </w:r>
            <w:r>
              <w:rPr>
                <w:color w:val="18181B"/>
                <w:sz w:val="21"/>
                <w:szCs w:val="21"/>
              </w:rPr>
              <w:t xml:space="preserve"> des Vertragsabschlusses</w:t>
            </w:r>
            <w:r>
              <w:rPr>
                <w:b/>
                <w:bCs/>
                <w:color w:val="B8461E"/>
                <w:sz w:val="19"/>
                <w:szCs w:val="19"/>
              </w:rPr>
              <w:t xml:space="preserve"> [ANZUPASSEN: Gestaltungshinweis 1, Baustein a) — für den Maklervertrag als Dienstleistungsvertrag eingesetzt. Wahl prüfen, dann diese Klammer löschen]</w:t>
            </w:r>
            <w:r>
              <w:rPr>
                <w:b w:val="false"/>
                <w:bCs w:val="false"/>
                <w:color w:val="18181B"/>
                <w:sz w:val="21"/>
                <w:szCs w:val="21"/>
              </w:rPr>
              <w:t xml:space="preserve">.</w:t>
            </w:r>
          </w:p>
          <w:p>
            <w:pPr>
              <w:spacing w:after="140" w:line="300"/>
              <w:jc w:val="both"/>
            </w:pPr>
            <w:r>
              <w:rPr>
                <w:b w:val="false"/>
                <w:bCs w:val="false"/>
                <w:color w:val="18181B"/>
                <w:sz w:val="21"/>
                <w:szCs w:val="21"/>
              </w:rPr>
              <w:t xml:space="preserve">Um Ihr Widerrufsrecht auszuüben, müssen Sie uns (</w:t>
            </w:r>
            <w:r>
              <w:rPr>
                <w:b/>
                <w:bCs/>
                <w:color w:val="B8461E"/>
                <w:sz w:val="19"/>
                <w:szCs w:val="19"/>
              </w:rPr>
              <w:t xml:space="preserve">[ANZUPASSEN: Gestaltungshinweis 2 — Name, Anschrift, Telefonnummer und E-Mail-Adresse einsetzen; alle vier, die Telefonnummer wird regelmäßig vergessen]</w:t>
            </w:r>
            <w:r>
              <w:rPr>
                <w:b w:val="false"/>
                <w:bCs w:val="false"/>
                <w:color w:val="18181B"/>
                <w:sz w:val="21"/>
                <w:szCs w:val="21"/>
              </w:rPr>
              <w:t xml:space="preserve">) mittels einer eindeutigen Erklärung (z. B. ein mit der Post versandter Brief oder eine E-Mail) über Ihren Entschluss, diesen Vertrag zu widerrufen, informieren. Sie können dafür das beigefügte Muster-Widerrufsformular verwenden, das jedoch nicht vorgeschrieben ist.</w:t>
            </w:r>
            <w:r>
              <w:rPr>
                <w:b/>
                <w:bCs/>
                <w:color w:val="B8461E"/>
                <w:sz w:val="19"/>
                <w:szCs w:val="19"/>
              </w:rPr>
              <w:t xml:space="preserve"> [ANZUPASSEN: Gestaltungshinweis 3 — nur bei Pflicht zur elektronischen Widerrufsfunktion (§ 356a BGB) den dortigen Textbaustein einsetzen, sonst diese Klammer ersatzlos löschen]</w:t>
            </w:r>
          </w:p>
          <w:p>
            <w:pPr>
              <w:spacing w:after="140" w:line="300"/>
              <w:jc w:val="both"/>
            </w:pPr>
            <w:r>
              <w:rPr>
                <w:b w:val="false"/>
                <w:bCs w:val="false"/>
                <w:color w:val="18181B"/>
                <w:sz w:val="21"/>
                <w:szCs w:val="21"/>
              </w:rPr>
              <w:t xml:space="preserve">Zur Wahrung der Widerrufsfrist reicht es aus, dass Sie die Mitteilung über die Ausübung des Widerrufsrechts vor Ablauf der Widerrufsfrist absenden.</w:t>
            </w:r>
          </w:p>
          <w:p>
            <w:pPr>
              <w:spacing w:after="140" w:line="300"/>
              <w:jc w:val="both"/>
            </w:pPr>
            <w:r>
              <w:rPr>
                <w:b/>
                <w:bCs/>
                <w:color w:val="18181B"/>
                <w:sz w:val="21"/>
                <w:szCs w:val="21"/>
              </w:rPr>
              <w:t xml:space="preserve">Folgen des Widerrufs</w:t>
            </w:r>
          </w:p>
          <w:p>
            <w:pPr>
              <w:spacing w:after="140" w:line="300"/>
              <w:jc w:val="both"/>
            </w:pPr>
            <w:r>
              <w:rPr>
                <w:b w:val="false"/>
                <w:bCs w:val="false"/>
                <w:color w:val="18181B"/>
                <w:sz w:val="21"/>
                <w:szCs w:val="21"/>
              </w:rP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r>
              <w:rPr>
                <w:b/>
                <w:bCs/>
                <w:color w:val="B8461E"/>
                <w:sz w:val="19"/>
                <w:szCs w:val="19"/>
              </w:rPr>
              <w:t xml:space="preserve"> [ANZUPASSEN: Gestaltungshinweis 4 — betrifft nur Kaufverträge über Waren; beim Maklervertrag diese Klammer ersatzlos löschen]</w:t>
            </w:r>
          </w:p>
          <w:p>
            <w:pPr>
              <w:spacing w:after="140" w:line="300"/>
              <w:jc w:val="both"/>
            </w:pPr>
            <w:r>
              <w:rPr>
                <w:b/>
                <w:bCs/>
                <w:color w:val="B8461E"/>
                <w:sz w:val="19"/>
                <w:szCs w:val="19"/>
              </w:rPr>
              <w:t xml:space="preserve">[ANZUPASSEN: Gestaltungshinweis 5 — betrifft nur Verträge, bei denen der Verbraucher Waren erhalten hat; beim Maklervertrag diese Zeile ersatzlos löschen]</w:t>
            </w:r>
          </w:p>
          <w:p>
            <w:pPr>
              <w:spacing w:after="0" w:line="300"/>
              <w:jc w:val="both"/>
            </w:pPr>
            <w:r>
              <w:rPr>
                <w:b/>
                <w:bCs/>
                <w:color w:val="B8461E"/>
                <w:sz w:val="19"/>
                <w:szCs w:val="19"/>
              </w:rPr>
              <w:t xml:space="preserve">[ANZUPASSEN: Gestaltungshinweis 6 — Textbaustein zum Wertersatz einsetzen, sobald der Makler auf ausdrückliches Verlangen vor Ablauf der Widerrufsfrist tätig werden soll; ohne ihn kein Wertersatz nach § 357a Absatz 2 BGB]</w:t>
            </w:r>
          </w:p>
        </w:tc>
      </w:tr>
    </w:tbl>
    <w:p>
      <w:pPr>
        <w:pStyle w:val="Heading1"/>
        <w:keepNext/>
        <w:spacing w:after="120" w:before="320"/>
      </w:pPr>
      <w:r>
        <w:rPr>
          <w:b/>
          <w:bCs/>
          <w:color w:val="18181B"/>
          <w:sz w:val="26"/>
          <w:szCs w:val="26"/>
        </w:rPr>
        <w:t xml:space="preserve">Gestaltungshinweise — amtlicher Wortlaut</w:t>
      </w:r>
    </w:p>
    <w:p>
      <w:pPr>
        <w:spacing w:after="140" w:line="300"/>
      </w:pPr>
      <w:r>
        <w:rPr>
          <w:b w:val="false"/>
          <w:bCs w:val="false"/>
          <w:color w:val="18181B"/>
          <w:sz w:val="21"/>
          <w:szCs w:val="21"/>
        </w:rPr>
        <w:t xml:space="preserve">Diese Hinweise gehören nicht in die Belehrung, die der Kunde erhält. Sie sagen nur, was an den Markern einzusetzen ist. Löschen Sie diesen Abschnitt, bevor Sie die Belehrung übermitteln.</w:t>
      </w:r>
    </w:p>
    <w:p>
      <w:pPr>
        <w:keepNext/>
        <w:spacing w:after="60" w:before="200"/>
      </w:pPr>
      <w:r>
        <w:rPr>
          <w:b/>
          <w:bCs/>
          <w:color w:val="B8461E"/>
          <w:sz w:val="20"/>
          <w:szCs w:val="20"/>
        </w:rPr>
        <w:t xml:space="preserve">Gestaltungshinweis 1</w:t>
      </w:r>
    </w:p>
    <w:p>
      <w:pPr>
        <w:spacing w:after="80" w:line="280"/>
      </w:pPr>
      <w:r>
        <w:rPr>
          <w:color w:val="18181B"/>
          <w:sz w:val="19"/>
          <w:szCs w:val="19"/>
        </w:rPr>
        <w:t xml:space="preserve">Fügen Sie einen der folgenden in Anführungszeichen gesetzten Textbausteine ein:</w:t>
      </w:r>
    </w:p>
    <w:p>
      <w:pPr>
        <w:spacing w:after="80" w:line="280"/>
        <w:ind w:left="340" w:hanging="300"/>
      </w:pPr>
      <w:r>
        <w:rPr>
          <w:color w:val="18181B"/>
          <w:sz w:val="19"/>
          <w:szCs w:val="19"/>
        </w:rPr>
        <w:t xml:space="preserve">a) im Falle eines Dienstleistungsvertrags oder eines Vertrags über die Lieferung von Wasser, Gas oder Strom, wenn sie nicht in einem begrenzten Volumen oder in einer bestimmten Menge zum Verkauf angeboten werden, von Fernwärme oder von digitalen Inhalten, die nicht auf einem körperlichen Datenträger geliefert werden: „des Vertragsabschlusses.“;</w:t>
      </w:r>
    </w:p>
    <w:p>
      <w:pPr>
        <w:spacing w:after="80" w:line="280"/>
        <w:ind w:left="340" w:hanging="300"/>
      </w:pPr>
      <w:r>
        <w:rPr>
          <w:color w:val="18181B"/>
          <w:sz w:val="19"/>
          <w:szCs w:val="19"/>
        </w:rPr>
        <w:t xml:space="preserve">b) im Falle eines Kaufvertrags: „, an dem Sie oder ein von Ihnen benannter Dritter, der nicht der Beförderer ist, die Waren in Besitz genommen haben bzw. hat.“;</w:t>
      </w:r>
    </w:p>
    <w:p>
      <w:pPr>
        <w:spacing w:after="80" w:line="280"/>
        <w:ind w:left="340" w:hanging="300"/>
      </w:pPr>
      <w:r>
        <w:rPr>
          <w:color w:val="18181B"/>
          <w:sz w:val="19"/>
          <w:szCs w:val="19"/>
        </w:rPr>
        <w:t xml:space="preserve">c) im Falle eines Vertrags über mehrere Waren, die der Verbraucher im Rahmen einer einheitlichen Bestellung bestellt hat und die getrennt geliefert werden: „, an dem Sie oder ein von Ihnen benannter Dritter, der nicht der Beförderer ist, die letzte Ware in Besitz genommen haben bzw. hat.“;</w:t>
      </w:r>
    </w:p>
    <w:p>
      <w:pPr>
        <w:spacing w:after="80" w:line="280"/>
        <w:ind w:left="340" w:hanging="300"/>
      </w:pPr>
      <w:r>
        <w:rPr>
          <w:color w:val="18181B"/>
          <w:sz w:val="19"/>
          <w:szCs w:val="19"/>
        </w:rPr>
        <w:t xml:space="preserve">d) im Falle eines Vertrags über die Lieferung einer Ware in mehreren Teilsendungen oder Stücken: „, an dem Sie oder ein von Ihnen benannter Dritter, der nicht der Beförderer ist, die letzte Teilsendung oder das letzte Stück in Besitz genommen haben bzw. hat.“;</w:t>
      </w:r>
    </w:p>
    <w:p>
      <w:pPr>
        <w:spacing w:after="80" w:line="280"/>
        <w:ind w:left="340" w:hanging="300"/>
      </w:pPr>
      <w:r>
        <w:rPr>
          <w:color w:val="18181B"/>
          <w:sz w:val="19"/>
          <w:szCs w:val="19"/>
        </w:rPr>
        <w:t xml:space="preserve">e) im Falle eines Vertrags zur regelmäßigen Lieferung von Waren über einen festgelegten Zeitraum hinweg: „, an dem Sie oder ein von Ihnen benannter Dritter, der nicht der Beförderer ist, die erste Ware in Besitz genommen haben bzw. hat.“</w:t>
      </w:r>
    </w:p>
    <w:p>
      <w:pPr>
        <w:keepNext/>
        <w:spacing w:after="60" w:before="200"/>
      </w:pPr>
      <w:r>
        <w:rPr>
          <w:b/>
          <w:bCs/>
          <w:color w:val="B8461E"/>
          <w:sz w:val="20"/>
          <w:szCs w:val="20"/>
        </w:rPr>
        <w:t xml:space="preserve">Gestaltungshinweis 2</w:t>
      </w:r>
    </w:p>
    <w:p>
      <w:pPr>
        <w:spacing w:after="80" w:line="280"/>
      </w:pPr>
      <w:r>
        <w:rPr>
          <w:color w:val="18181B"/>
          <w:sz w:val="19"/>
          <w:szCs w:val="19"/>
        </w:rPr>
        <w:t xml:space="preserve">Fügen Sie Ihren Namen, Ihre Anschrift, Ihre Telefonnummer und Ihre E-Mail-Adresse ein.</w:t>
      </w:r>
    </w:p>
    <w:p>
      <w:pPr>
        <w:keepNext/>
        <w:spacing w:after="60" w:before="200"/>
      </w:pPr>
      <w:r>
        <w:rPr>
          <w:b/>
          <w:bCs/>
          <w:color w:val="B8461E"/>
          <w:sz w:val="20"/>
          <w:szCs w:val="20"/>
        </w:rPr>
        <w:t xml:space="preserve">Gestaltungshinweis 3</w:t>
      </w:r>
    </w:p>
    <w:p>
      <w:pPr>
        <w:spacing w:after="80" w:line="280"/>
      </w:pPr>
      <w:r>
        <w:rPr>
          <w:color w:val="18181B"/>
          <w:sz w:val="19"/>
          <w:szCs w:val="19"/>
        </w:rPr>
        <w:t xml:space="preserve">Wenn Sie dazu verpflichtet sind, eine Funktion bereitzustellen, mit der der Verbraucher den online geschlossenen Vertrag widerrufen kann, fügen Sie Folgendes ein: „Sie können Ihr Widerrufsrecht auch online unter … [Internetadresse oder anderen geeigneten Hinweis darüber eingeben, wo die Widerrufsfunktion verfügbar ist] ausüben. Wenn Sie diese Online-Funktion nutzen, übermitteln wir Ihnen auf einem dauerhaften Datenträger (z. B. durch eine E-Mail) unverzüglich eine Eingangsbestätigung mit Informationen zum Inhalt der Widerrufserklärung sowie dem Datum und der Uhrzeit ihres Eingangs. “ Wenn Sie dem Verbraucher die Wahl einräumen, die Information über seinen Widerruf des Vertrags auf Ihrer Webseite elektronisch auszufüllen und zu übermitteln, fügen Sie Folgendes ein: „Sie können das Muster-Widerrufsformular oder eine andere eindeutige Erklärung auch auf unserer Webseite … [Internet-Adresse einfügen] elektronisch ausfüllen und übermitteln. Machen Sie von dieser Möglichkeit Gebrauch, so werden wir Ihnen unverzüglich (z. B. per E-Mail) eine Bestätigung über den Eingang eines solchen Widerrufs übermitteln. “</w:t>
      </w:r>
    </w:p>
    <w:p>
      <w:pPr>
        <w:keepNext/>
        <w:spacing w:after="60" w:before="200"/>
      </w:pPr>
      <w:r>
        <w:rPr>
          <w:b/>
          <w:bCs/>
          <w:color w:val="B8461E"/>
          <w:sz w:val="20"/>
          <w:szCs w:val="20"/>
        </w:rPr>
        <w:t xml:space="preserve">Gestaltungshinweis 4</w:t>
      </w:r>
    </w:p>
    <w:p>
      <w:pPr>
        <w:spacing w:after="80" w:line="280"/>
      </w:pPr>
      <w:r>
        <w:rPr>
          <w:color w:val="18181B"/>
          <w:sz w:val="19"/>
          <w:szCs w:val="19"/>
        </w:rPr>
        <w:t xml:space="preserve">Im Falle von Kaufverträgen, in denen Sie nicht angeboten haben, im Falle des Widerrufs die Waren selbst abzuholen, fügen Sie Folgendes ein: „Wir können die Rückzahlung verweigern, bis wir die Waren wieder zurückerhalten haben oder bis Sie den Nachweis erbracht haben, dass Sie die Waren zurückgesandt haben, je nachdem, welches der frühere Zeitpunkt ist.“</w:t>
      </w:r>
    </w:p>
    <w:p>
      <w:pPr>
        <w:keepNext/>
        <w:spacing w:after="60" w:before="200"/>
      </w:pPr>
      <w:r>
        <w:rPr>
          <w:b/>
          <w:bCs/>
          <w:color w:val="B8461E"/>
          <w:sz w:val="20"/>
          <w:szCs w:val="20"/>
        </w:rPr>
        <w:t xml:space="preserve">Gestaltungshinweis 5</w:t>
      </w:r>
    </w:p>
    <w:p>
      <w:pPr>
        <w:spacing w:after="80" w:line="280"/>
      </w:pPr>
      <w:r>
        <w:rPr>
          <w:color w:val="18181B"/>
          <w:sz w:val="19"/>
          <w:szCs w:val="19"/>
        </w:rPr>
        <w:t xml:space="preserve">Wenn der Verbraucher Waren im Zusammenhang mit dem Vertrag erhalten hat:</w:t>
      </w:r>
    </w:p>
    <w:p>
      <w:pPr>
        <w:spacing w:after="80" w:line="280"/>
        <w:ind w:left="340" w:hanging="300"/>
      </w:pPr>
      <w:r>
        <w:rPr>
          <w:color w:val="18181B"/>
          <w:sz w:val="19"/>
          <w:szCs w:val="19"/>
        </w:rPr>
        <w:t xml:space="preserve">a) Fügen Sie ein:</w:t>
      </w:r>
    </w:p>
    <w:p>
      <w:pPr>
        <w:spacing w:after="80" w:line="280"/>
        <w:ind w:left="680" w:hanging="300"/>
      </w:pPr>
      <w:r>
        <w:rPr>
          <w:color w:val="18181B"/>
          <w:sz w:val="19"/>
          <w:szCs w:val="19"/>
        </w:rPr>
        <w:t xml:space="preserve">– „Wir holen die Waren ab.“ oder</w:t>
      </w:r>
    </w:p>
    <w:p>
      <w:pPr>
        <w:spacing w:after="80" w:line="280"/>
        <w:ind w:left="680" w:hanging="300"/>
      </w:pPr>
      <w:r>
        <w:rPr>
          <w:color w:val="18181B"/>
          <w:sz w:val="19"/>
          <w:szCs w:val="19"/>
        </w:rPr>
        <w:t xml:space="preserve">– „Sie haben die Waren unverzüglich und in jedem Fall spätestens binnen vierzehn Tagen ab dem Tag, an dem Sie uns über den Widerruf dieses Vertrags unterrichten, an … uns oder an [hier sind gegebenenfalls der Name und die Anschrift der von Ihnen zur Entgegennahme der Waren ermächtigten Person einzufügen] zurückzusenden oder zu übergeben. Die Frist ist gewahrt, wenn Sie die Waren vor Ablauf der Frist von vierzehn Tagen absenden.“</w:t>
      </w:r>
    </w:p>
    <w:p>
      <w:pPr>
        <w:spacing w:after="80" w:line="280"/>
        <w:ind w:left="340" w:hanging="300"/>
      </w:pPr>
      <w:r>
        <w:rPr>
          <w:color w:val="18181B"/>
          <w:sz w:val="19"/>
          <w:szCs w:val="19"/>
        </w:rPr>
        <w:t xml:space="preserve">b) fügen Sie ein:</w:t>
      </w:r>
    </w:p>
    <w:p>
      <w:pPr>
        <w:spacing w:after="80" w:line="280"/>
        <w:ind w:left="680" w:hanging="300"/>
      </w:pPr>
      <w:r>
        <w:rPr>
          <w:color w:val="18181B"/>
          <w:sz w:val="19"/>
          <w:szCs w:val="19"/>
        </w:rPr>
        <w:t xml:space="preserve">– „Wir tragen die Kosten der Rücksendung der Waren.“;</w:t>
      </w:r>
    </w:p>
    <w:p>
      <w:pPr>
        <w:spacing w:after="80" w:line="280"/>
        <w:ind w:left="680" w:hanging="300"/>
      </w:pPr>
      <w:r>
        <w:rPr>
          <w:color w:val="18181B"/>
          <w:sz w:val="19"/>
          <w:szCs w:val="19"/>
        </w:rPr>
        <w:t xml:space="preserve">– „Sie tragen die unmittelbaren Kosten der Rücksendung der Waren.“;</w:t>
      </w:r>
    </w:p>
    <w:p>
      <w:pPr>
        <w:spacing w:after="80" w:line="280"/>
        <w:ind w:left="680" w:hanging="300"/>
      </w:pPr>
      <w:r>
        <w:rPr>
          <w:color w:val="18181B"/>
          <w:sz w:val="19"/>
          <w:szCs w:val="19"/>
        </w:rPr>
        <w:t xml:space="preserve">– Wenn Sie bei einem Fernabsatzvertrag nicht anbieten, die Kosten der Rücksendung der Waren zu tragen, und die Waren aufgrund ihrer Beschaffenheit nicht normal mit der Post zurückgesandt werden können: „Sie tragen die unmittelbaren Kosten der Rücksendung der Waren in Höhe von … EUR [Betrag einfügen].“, oder, wenn die Kosten vernünftigerweise nicht im Voraus berechnet werden können: „Sie tragen die unmittelbaren Kosten der Rücksendung der Waren. Die Kosten werden auf höchstens etwa … EUR [Betrag einfügen] geschätzt.“ oder</w:t>
      </w:r>
    </w:p>
    <w:p>
      <w:pPr>
        <w:spacing w:after="80" w:line="280"/>
        <w:ind w:left="680" w:hanging="300"/>
      </w:pPr>
      <w:r>
        <w:rPr>
          <w:color w:val="18181B"/>
          <w:sz w:val="19"/>
          <w:szCs w:val="19"/>
        </w:rPr>
        <w:t xml:space="preserve">– Wenn die Waren bei einem außerhalb von Geschäftsräumen geschlossenen Vertrag aufgrund ihrer Beschaffenheit nicht normal mit der Post zurückgesandt werden können und zum Zeitpunkt des Vertragsschlusses zur Wohnung des Verbrauchers gebracht worden sind: „Wir holen die Waren auf unsere Kosten ab.“ und</w:t>
      </w:r>
    </w:p>
    <w:p>
      <w:pPr>
        <w:spacing w:after="80" w:line="280"/>
        <w:ind w:left="340" w:hanging="300"/>
      </w:pPr>
      <w:r>
        <w:rPr>
          <w:color w:val="18181B"/>
          <w:sz w:val="19"/>
          <w:szCs w:val="19"/>
        </w:rPr>
        <w:t xml:space="preserve">c) fügen Sie ein: „Sie müssen für einen etwaigen Wertverlust der Waren nur aufkommen, wenn dieser Wertverlust auf einen zur Prüfung der Beschaffenheit, Eigenschaften und Funktionsweise der Waren nicht notwendigen Umgang mit ihnen zurückzuführen ist.“</w:t>
      </w:r>
    </w:p>
    <w:p>
      <w:pPr>
        <w:keepNext/>
        <w:spacing w:after="60" w:before="200"/>
      </w:pPr>
      <w:r>
        <w:rPr>
          <w:b/>
          <w:bCs/>
          <w:color w:val="B8461E"/>
          <w:sz w:val="20"/>
          <w:szCs w:val="20"/>
        </w:rPr>
        <w:t xml:space="preserve">Gestaltungshinweis 6</w:t>
      </w:r>
    </w:p>
    <w:p>
      <w:pPr>
        <w:spacing w:after="80" w:line="280"/>
      </w:pPr>
      <w:r>
        <w:rPr>
          <w:color w:val="18181B"/>
          <w:sz w:val="19"/>
          <w:szCs w:val="19"/>
        </w:rPr>
        <w:t xml:space="preserve">Im Falle eines Vertrags, der die Erbringung von Dienstleistungen oder die Lieferung von Wasser, Gas oder Strom, wenn sie nicht in einem begrenzten Volumen oder in einer bestimmten Menge zum Verkauf angeboten werden, oder von Fernwärme zum Gegenstand hat, fügen Sie Folgendes ein: „Haben Sie verlangt, dass die Dienstleistungen oder Lieferung von Wasser/Gas/Strom/Fernwärme [Unzutreffendes streichen]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 “</w:t>
      </w:r>
    </w:p>
    <w:p>
      <w:r>
        <w:br w:type="page"/>
      </w:r>
    </w:p>
    <w:p>
      <w:pPr>
        <w:spacing w:after="140" w:line="300"/>
      </w:pPr>
      <w:r>
        <w:rPr>
          <w:b w:val="false"/>
          <w:bCs w:val="false"/>
          <w:color w:val="6B6B74"/>
          <w:sz w:val="17"/>
          <w:szCs w:val="17"/>
        </w:rPr>
        <w:t xml:space="preserve">— — —  ab hier abtrennen und dem Kunden mitgeben  — — —</w:t>
      </w:r>
    </w:p>
    <w:p>
      <w:pPr>
        <w:pStyle w:val="Heading1"/>
        <w:keepNext/>
        <w:spacing w:after="120" w:before="320"/>
      </w:pPr>
      <w:r>
        <w:rPr>
          <w:b/>
          <w:bCs/>
          <w:color w:val="18181B"/>
          <w:sz w:val="26"/>
          <w:szCs w:val="26"/>
        </w:rPr>
        <w:t xml:space="preserve">Muster-Widerrufsformular</w:t>
      </w:r>
    </w:p>
    <w:p>
      <w:pPr>
        <w:spacing w:after="140" w:line="300"/>
      </w:pPr>
      <w:r>
        <w:rPr>
          <w:b w:val="false"/>
          <w:bCs w:val="false"/>
          <w:color w:val="6B6B74"/>
          <w:sz w:val="17"/>
          <w:szCs w:val="17"/>
        </w:rPr>
        <w:t xml:space="preserve">Anlage 2 (zu Artikel 246a § 1 Absatz 2 Satz 1 Nummer 1 und § 2 Absatz 2 Nummer 2) EGBGB: Muster für das Widerrufsformular.</w:t>
      </w:r>
    </w:p>
    <w:p>
      <w:pPr>
        <w:spacing w:after="140" w:line="300"/>
      </w:pPr>
      <w:r>
        <w:rPr>
          <w:b w:val="false"/>
          <w:bCs w:val="false"/>
          <w:color w:val="18181B"/>
          <w:sz w:val="21"/>
          <w:szCs w:val="21"/>
        </w:rPr>
        <w:t xml:space="preserve">Das Formular ist der Belehrung beizufügen — Artikel 246a § 1 Absatz 2 Satz 1 Nummer 1 EGBGB nennt es ausdrücklich. Verwenden muss der Verbraucher es nicht; erhalten muss er es.</w:t>
      </w:r>
    </w:p>
    <w:p>
      <w:pPr>
        <w:spacing w:after="160" w:line="300"/>
      </w:pPr>
      <w:r>
        <w:rPr>
          <w:b/>
          <w:bCs/>
          <w:color w:val="B8461E"/>
          <w:sz w:val="19"/>
          <w:szCs w:val="19"/>
        </w:rPr>
        <w:t xml:space="preserve">[ANZUPASSEN: In der ersten Zeile des Formulars Name, Anschrift und E-Mail-Adresse des Unternehmers einsetzen — Anlage 2 verlangt hier keine Telefonnummer, anders als Gestaltungshinweis 2 zur Belehrung. Den übrigen Wortlaut unverändert lassen]</w:t>
      </w:r>
    </w:p>
    <w:tbl>
      <w:tblPr>
        <w:tblW w:type="dxa" w:w="9864"/>
        <w:tblBorders>
          <w:top w:val="single" w:color="18181B" w:sz="8"/>
          <w:left w:val="single" w:color="18181B" w:sz="8"/>
          <w:bottom w:val="single" w:color="18181B" w:sz="8"/>
          <w:right w:val="single" w:color="18181B" w:sz="8"/>
          <w:insideH w:val="single" w:color="auto" w:sz="4"/>
          <w:insideV w:val="single" w:color="auto" w:sz="4"/>
        </w:tblBorders>
      </w:tblPr>
      <w:tblGrid>
        <w:gridCol w:w="9864"/>
      </w:tblGrid>
      <w:tr>
        <w:tc>
          <w:tcPr>
            <w:tcMar>
              <w:top w:type="dxa" w:w="220"/>
              <w:left w:type="dxa" w:w="240"/>
              <w:bottom w:type="dxa" w:w="220"/>
              <w:right w:type="dxa" w:w="240"/>
            </w:tcMar>
          </w:tcPr>
          <w:p>
            <w:pPr>
              <w:spacing w:after="140" w:line="300"/>
              <w:jc w:val="center"/>
            </w:pPr>
            <w:r>
              <w:rPr>
                <w:b/>
                <w:bCs/>
                <w:color w:val="18181B"/>
                <w:sz w:val="22"/>
                <w:szCs w:val="22"/>
              </w:rPr>
              <w:t xml:space="preserve">Muster-Widerrufsformular</w:t>
            </w:r>
          </w:p>
          <w:p>
            <w:pPr>
              <w:spacing w:after="140" w:line="300"/>
              <w:jc w:val="both"/>
            </w:pPr>
            <w:r>
              <w:rPr>
                <w:color w:val="18181B"/>
                <w:sz w:val="20"/>
                <w:szCs w:val="20"/>
              </w:rPr>
              <w:t xml:space="preserve">(Wenn Sie den Vertrag widerrufen wollen, dann füllen Sie bitte dieses Formular aus und senden Sie es zurück.)</w:t>
            </w:r>
          </w:p>
          <w:p>
            <w:pPr>
              <w:spacing w:after="140" w:line="300"/>
              <w:jc w:val="both"/>
            </w:pPr>
            <w:r>
              <w:rPr>
                <w:color w:val="18181B"/>
                <w:sz w:val="20"/>
                <w:szCs w:val="20"/>
              </w:rPr>
              <w:t xml:space="preserve">– An [hier ist der Name, die Anschrift und die E-Mail-Adresse des Unternehmers durch den Unternehmer einzufügen]:</w:t>
            </w:r>
          </w:p>
          <w:p>
            <w:pPr>
              <w:spacing w:after="140" w:line="300"/>
              <w:jc w:val="both"/>
            </w:pPr>
            <w:r>
              <w:rPr>
                <w:color w:val="18181B"/>
                <w:sz w:val="20"/>
                <w:szCs w:val="20"/>
              </w:rPr>
              <w:t xml:space="preserve">– Hiermit widerrufe(n) ich/wir (*) den von mir/uns (*) abgeschlossenen Vertrag über den Kauf der folgenden Waren (*)/die Erbringung der folgenden Dienstleistung (*)</w:t>
            </w:r>
          </w:p>
          <w:p>
            <w:pPr>
              <w:spacing w:after="140" w:line="300"/>
              <w:jc w:val="both"/>
            </w:pPr>
            <w:r>
              <w:rPr>
                <w:color w:val="18181B"/>
                <w:sz w:val="20"/>
                <w:szCs w:val="20"/>
              </w:rPr>
              <w:t xml:space="preserve">– Bestellt am (*)/erhalten am (*)</w:t>
            </w:r>
          </w:p>
          <w:p>
            <w:pPr>
              <w:spacing w:after="140" w:line="300"/>
              <w:jc w:val="both"/>
            </w:pPr>
            <w:r>
              <w:rPr>
                <w:color w:val="18181B"/>
                <w:sz w:val="20"/>
                <w:szCs w:val="20"/>
              </w:rPr>
              <w:t xml:space="preserve">– Name des/der Verbraucher(s)</w:t>
            </w:r>
          </w:p>
          <w:p>
            <w:pPr>
              <w:spacing w:after="140" w:line="300"/>
              <w:jc w:val="both"/>
            </w:pPr>
            <w:r>
              <w:rPr>
                <w:color w:val="18181B"/>
                <w:sz w:val="20"/>
                <w:szCs w:val="20"/>
              </w:rPr>
              <w:t xml:space="preserve">– Anschrift des/der Verbraucher(s)</w:t>
            </w:r>
          </w:p>
          <w:p>
            <w:pPr>
              <w:spacing w:after="140" w:line="300"/>
              <w:jc w:val="both"/>
            </w:pPr>
            <w:r>
              <w:rPr>
                <w:color w:val="18181B"/>
                <w:sz w:val="20"/>
                <w:szCs w:val="20"/>
              </w:rPr>
              <w:t xml:space="preserve">– Unterschrift des/der Verbraucher(s) (nur bei Mitteilung auf Papier)</w:t>
            </w:r>
          </w:p>
          <w:p>
            <w:pPr>
              <w:spacing w:after="140" w:line="300"/>
              <w:jc w:val="both"/>
            </w:pPr>
            <w:r>
              <w:rPr>
                <w:color w:val="18181B"/>
                <w:sz w:val="20"/>
                <w:szCs w:val="20"/>
              </w:rPr>
              <w:t xml:space="preserve">– Datum</w:t>
            </w:r>
          </w:p>
          <w:p>
            <w:pPr>
              <w:spacing w:after="0" w:line="300"/>
              <w:jc w:val="both"/>
            </w:pPr>
            <w:r>
              <w:rPr>
                <w:color w:val="6B6B74"/>
                <w:sz w:val="19"/>
                <w:szCs w:val="19"/>
              </w:rPr>
              <w:t xml:space="preserve">(*) Unzutreffendes streichen.</w:t>
            </w:r>
          </w:p>
        </w:tc>
      </w:tr>
    </w:tbl>
    <w:sectPr>
      <w:headerReference w:type="default" r:id="rId7"/>
      <w:footerReference w:type="default" r:id="rId8"/>
      <w:pgSz w:w="11906" w:h="16838" w:orient="portrait"/>
      <w:pgMar w:top="1134" w:right="1021" w:bottom="1247" w:left="102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6B74"/>
        <w:sz w:val="15"/>
        <w:szCs w:val="15"/>
      </w:rPr>
      <w:t xml:space="preserve">Stand 16.08.2026 · myinvest-pro.de · Seite </w:t>
    </w:r>
    <w:r>
      <w:rPr>
        <w:color w:val="6B6B74"/>
        <w:sz w:val="15"/>
        <w:szCs w:val="15"/>
      </w:rPr>
      <w:fldChar w:fldCharType="begin"/>
      <w:instrText xml:space="preserve">PAGE</w:instrText>
      <w:fldChar w:fldCharType="separate"/>
      <w:fldChar w:fldCharType="end"/>
    </w:r>
    <w:r>
      <w:rPr>
        <w:color w:val="6B6B74"/>
        <w:sz w:val="15"/>
        <w:szCs w:val="15"/>
      </w:rPr>
      <w:t xml:space="preserve"> von </w:t>
    </w:r>
    <w:r>
      <w:rPr>
        <w:color w:val="6B6B74"/>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74"/>
        <w:sz w:val="15"/>
        <w:szCs w:val="15"/>
      </w:rPr>
      <w:t xml:space="preserve">Widerrufsbelehrung mit Muster-Widerrufsformular · MyInvest Pro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8181B"/>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Widerrufsbelehrung mit Muster-Widerrufsformular</dc:title>
  <dc:creator>MyInvest Pro</dc:creator>
  <dc:description>Anlage 1 und Anlage 2 zum EGBGB im amtlichen Wortlaut — ausgelegt auf den Maklervertrag im Fernabsatz und außerhalb von Geschäftsräumen</dc:description>
  <cp:lastModifiedBy>MyInvest Pro</cp:lastModifiedBy>
  <cp:revision>1</cp:revision>
  <dcterms:created xsi:type="dcterms:W3CDTF">2026-08-16T00:00:00Z</dcterms:created>
  <dcterms:modified xsi:type="dcterms:W3CDTF">2026-08-16T00:00:00Z</dcterms:modified>
</cp:coreProperties>
</file>

<file path=docProps/custom.xml><?xml version="1.0" encoding="utf-8"?>
<Properties xmlns="http://schemas.openxmlformats.org/officeDocument/2006/custom-properties" xmlns:vt="http://schemas.openxmlformats.org/officeDocument/2006/docPropsVTypes"/>
</file>